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p>
      <w:pPr>
        <w:pStyle w:val="Compact"/>
        <w:numPr>
          <w:ilvl w:val="0"/>
          <w:numId w:val="1002"/>
        </w:numPr>
      </w:pPr>
      <w:r>
        <w:t xml:space="preserve">Deliver technical assistance to Ministries of Health and implementing partners on data demand and use for decision‑making, automated reporting, DHIS2 workflows, and surveillance analytics.</w:t>
      </w:r>
    </w:p>
    <w:p>
      <w:pPr>
        <w:pStyle w:val="Compact"/>
        <w:numPr>
          <w:ilvl w:val="0"/>
          <w:numId w:val="1002"/>
        </w:numPr>
      </w:pPr>
      <w:r>
        <w:t xml:space="preserve">Provide data‑driven technical support for fund development, including guidance during the proposal development stage.</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2026-06-02T14:00:50Z</dcterms:created>
  <dcterms:modified xsi:type="dcterms:W3CDTF">2026-06-02T14:00:50Z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