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Accountability and Learning (MEAL)</w:t>
      </w:r>
    </w:p>
    <w:p>
      <w:pPr>
        <w:pStyle w:val="Compact"/>
        <w:numPr>
          <w:ilvl w:val="0"/>
          <w:numId w:val="1001"/>
        </w:numPr>
      </w:pPr>
      <w:r>
        <w:t xml:space="preserve">Strategic Learning, Evidence Use, Adaptive Management,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Philanthropic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synthesize implementation evidence to generate actionable insights that strengthen adaptive management and inform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2026-06-11T13:58:33Z</dcterms:created>
  <dcterms:modified xsi:type="dcterms:W3CDTF">2026-06-11T13:58:33Z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