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MEL and Data Science Leader</w:t>
      </w:r>
      <w:r>
        <w:br/>
      </w:r>
      <w:r>
        <w:t xml:space="preserve">Kisii,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p>
      <w:pPr>
        <w:pStyle w:val="BodyText"/>
      </w:pPr>
      <w:r>
        <w:t xml:space="preserve">Online version:</w:t>
      </w:r>
      <w:r>
        <w:t xml:space="preserve"> </w:t>
      </w:r>
      <w:hyperlink r:id="rId10">
        <w:r>
          <w:rPr>
            <w:rStyle w:val="Hyperlink"/>
          </w:rPr>
          <w:t xml:space="preserve">View my live CV and portfolio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Measurement, Evaluation, and Learning (MEL) and Data Science leader with 15+ years of experience across global health, public sector, and development programs in Africa. Proven track record in leading multi-country MEL systems, advancing data-driven strategy, and strengthening health information systems. Expertise in statistical analysis, program evaluation, and translating complex data into actionable insights for donors, governments, and implementing partners. Experienced in managing large-scale programs, building high-performing teams, and supporting investment cases and strategic decision-making.</w:t>
      </w:r>
    </w:p>
    <w:bookmarkEnd w:id="11"/>
    <w:bookmarkStart w:id="1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Statistical Analysis and Data Science: R, tidyverse, Power BI</w:t>
      </w:r>
    </w:p>
    <w:p>
      <w:pPr>
        <w:pStyle w:val="Compact"/>
        <w:numPr>
          <w:ilvl w:val="0"/>
          <w:numId w:val="1001"/>
        </w:numPr>
      </w:pPr>
      <w:r>
        <w:t xml:space="preserve">Health Information Systems: DHIS2, EMR, Kobo Toolbox</w:t>
      </w:r>
    </w:p>
    <w:p>
      <w:pPr>
        <w:pStyle w:val="Compact"/>
        <w:numPr>
          <w:ilvl w:val="0"/>
          <w:numId w:val="1001"/>
        </w:numPr>
      </w:pPr>
      <w:r>
        <w:t xml:space="preserve">Program Design and Evaluation Frameworks</w:t>
      </w:r>
    </w:p>
    <w:p>
      <w:pPr>
        <w:pStyle w:val="Compact"/>
        <w:numPr>
          <w:ilvl w:val="0"/>
          <w:numId w:val="1001"/>
        </w:numPr>
      </w:pPr>
      <w:r>
        <w:t xml:space="preserve">Data Strategy, Decision Support, Performance, and Organizational Learning</w:t>
      </w:r>
    </w:p>
    <w:p>
      <w:pPr>
        <w:pStyle w:val="Compact"/>
        <w:numPr>
          <w:ilvl w:val="0"/>
          <w:numId w:val="1001"/>
        </w:numPr>
      </w:pPr>
      <w:r>
        <w:t xml:space="preserve">Capacity Building and Stakeholder Engagement</w:t>
      </w:r>
    </w:p>
    <w:p>
      <w:pPr>
        <w:pStyle w:val="Compact"/>
        <w:numPr>
          <w:ilvl w:val="0"/>
          <w:numId w:val="1001"/>
        </w:numPr>
      </w:pPr>
      <w:r>
        <w:t xml:space="preserve">Donor Reporting: USAID, CDC, World Bank, Foundations, Funds</w:t>
      </w:r>
    </w:p>
    <w:p>
      <w:pPr>
        <w:pStyle w:val="Compact"/>
        <w:numPr>
          <w:ilvl w:val="0"/>
          <w:numId w:val="1001"/>
        </w:numPr>
      </w:pPr>
      <w:r>
        <w:t xml:space="preserve">Research and Scientific Communication</w:t>
      </w:r>
    </w:p>
    <w:bookmarkEnd w:id="12"/>
    <w:bookmarkStart w:id="30" w:name="professional-experience"/>
    <w:p>
      <w:pPr>
        <w:pStyle w:val="Heading2"/>
      </w:pPr>
      <w:r>
        <w:t xml:space="preserve">Professional Experience</w:t>
      </w:r>
    </w:p>
    <w:bookmarkStart w:id="14" w:name="the-end-fund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Lead MEL strategy and implementation for visceral leishmaniasis and trachoma within multi‑country NTD programs spanning 30+ countries, supporting over $50M disbursed and over 150M individuals reached annually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support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Provide technical leadership in survey design, data analytics, and digital transformation initiatives.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advanced data analysis and evidence generation for donor and board reporting.</w:t>
      </w:r>
    </w:p>
    <w:bookmarkEnd w:id="14"/>
    <w:bookmarkStart w:id="16" w:name="the-end-fund-1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Designed and implemented MEL systems across 30+ low‑resource countries with limited M&amp;E capacity, strengthening data use for programmatic decision‑making.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via performance tracking and data reviews, aligning country MEL systems with global MEL frameworks and donor reporting standards.</w:t>
      </w:r>
    </w:p>
    <w:p>
      <w:pPr>
        <w:pStyle w:val="Compact"/>
        <w:numPr>
          <w:ilvl w:val="0"/>
          <w:numId w:val="1003"/>
        </w:numPr>
      </w:pPr>
      <w:r>
        <w:t xml:space="preserve">Developed and managed quick‑use data tools, including Google Sheets and Excel dashboards, to support program teams.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p>
      <w:pPr>
        <w:pStyle w:val="Compact"/>
        <w:numPr>
          <w:ilvl w:val="0"/>
          <w:numId w:val="1004"/>
        </w:numPr>
      </w:pPr>
      <w:r>
        <w:t xml:space="preserve">Led segments of the program database development process in collaboration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bookmarkEnd w:id="16"/>
    <w:bookmarkStart w:id="18" w:name="independent-consultant"/>
    <w:p>
      <w:pPr>
        <w:pStyle w:val="Heading3"/>
      </w:pPr>
      <w:hyperlink r:id="rId9">
        <w:r>
          <w:rPr>
            <w:rStyle w:val="Hyperlink"/>
          </w:rPr>
          <w:t xml:space="preserve">Independent Consultant</w:t>
        </w:r>
      </w:hyperlink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donors and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7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8"/>
    <w:bookmarkStart w:id="20" w:name="X9ba5efaf9c9c5ac59871b0ca5a6b1f34f83d889"/>
    <w:p>
      <w:pPr>
        <w:pStyle w:val="Heading3"/>
      </w:pPr>
      <w:hyperlink r:id="rId19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Provided technical assistance to county health systems to strengthen data collection, analysis, and reporting.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Owned the development and deployment of the DHIS2-based Data Reporting and Warehousing System (DRAWS)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7"/>
        </w:numPr>
      </w:pPr>
      <w:r>
        <w:t xml:space="preserve">Part of the technical working group for the development and deployment of CDC Kenya’s Partner Platform for Performance Monitoring (3PM).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20"/>
    <w:bookmarkStart w:id="22" w:name="kmet"/>
    <w:p>
      <w:pPr>
        <w:pStyle w:val="Heading3"/>
      </w:pPr>
      <w:hyperlink r:id="rId21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Developed and managed monitoring and evaluation systems for donor-funded RMNCAH (Reproductive, Maternal, Newborn, Child, and Adolescent Health)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2"/>
    <w:bookmarkStart w:id="29" w:name="X25c0948727970404fa58de2e57afb60c9f97fa7"/>
    <w:p>
      <w:pPr>
        <w:pStyle w:val="Heading3"/>
      </w:pPr>
      <w:hyperlink r:id="rId23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Led the production of</w:t>
      </w:r>
      <w:r>
        <w:t xml:space="preserve"> </w:t>
      </w:r>
      <w:hyperlink r:id="rId24">
        <w:r>
          <w:rPr>
            <w:rStyle w:val="Hyperlink"/>
          </w:rPr>
          <w:t xml:space="preserve">Nyamira County’s inaugural Statistical Abstract</w:t>
        </w:r>
      </w:hyperlink>
      <w:r>
        <w:t xml:space="preserve"> </w:t>
      </w:r>
      <w:r>
        <w:t xml:space="preserve">in collaboration with the Kenya National Bureau of Statistics providing a foundation for evidence-based economic planning.</w:t>
      </w:r>
    </w:p>
    <w:p>
      <w:pPr>
        <w:pStyle w:val="Compact"/>
        <w:numPr>
          <w:ilvl w:val="0"/>
          <w:numId w:val="1011"/>
        </w:numPr>
      </w:pPr>
      <w:r>
        <w:t xml:space="preserve">Led the development of</w:t>
      </w:r>
      <w:r>
        <w:t xml:space="preserve"> </w:t>
      </w:r>
      <w:hyperlink r:id="rId25">
        <w:r>
          <w:rPr>
            <w:rStyle w:val="Hyperlink"/>
          </w:rPr>
          <w:t xml:space="preserve">the inaugural County Integrated Development Plan</w:t>
        </w:r>
      </w:hyperlink>
      <w:r>
        <w:t xml:space="preserve">, multi-year (</w:t>
      </w:r>
      <w:hyperlink r:id="rId26">
        <w:r>
          <w:rPr>
            <w:rStyle w:val="Hyperlink"/>
          </w:rPr>
          <w:t xml:space="preserve">2013/2014</w:t>
        </w:r>
      </w:hyperlink>
      <w:r>
        <w:t xml:space="preserve"> </w:t>
      </w:r>
      <w:r>
        <w:t xml:space="preserve">to</w:t>
      </w:r>
      <w:r>
        <w:t xml:space="preserve"> </w:t>
      </w:r>
      <w:hyperlink r:id="rId27">
        <w:r>
          <w:rPr>
            <w:rStyle w:val="Hyperlink"/>
          </w:rPr>
          <w:t xml:space="preserve">2015/2016</w:t>
        </w:r>
      </w:hyperlink>
      <w:r>
        <w:t xml:space="preserve">) budget policy documents, and strategic frameworks, plans and</w:t>
      </w:r>
      <w:r>
        <w:t xml:space="preserve"> </w:t>
      </w:r>
      <w:hyperlink r:id="rId28">
        <w:r>
          <w:rPr>
            <w:rStyle w:val="Hyperlink"/>
          </w:rPr>
          <w:t xml:space="preserve">reports</w:t>
        </w:r>
      </w:hyperlink>
      <w:r>
        <w:t xml:space="preserve">, ensuring alignment with county and national priorities.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 to support tracking of the key performance indicators.</w:t>
      </w:r>
    </w:p>
    <w:p>
      <w:pPr>
        <w:pStyle w:val="Compact"/>
        <w:numPr>
          <w:ilvl w:val="0"/>
          <w:numId w:val="1011"/>
        </w:numPr>
      </w:pPr>
      <w:r>
        <w:t xml:space="preserve">Founded the Borabu District Information and Documentation Centre, improving transparency and accessibility of government development plans and strategies for civil servants and citizens.</w:t>
      </w:r>
    </w:p>
    <w:bookmarkEnd w:id="29"/>
    <w:bookmarkEnd w:id="30"/>
    <w:bookmarkStart w:id="33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1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2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3"/>
    <w:bookmarkStart w:id="3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4"/>
    <w:bookmarkStart w:id="37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7"/>
    <w:bookmarkStart w:id="41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8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39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40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1"/>
    <w:bookmarkStart w:id="4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2"/>
    <w:bookmarkStart w:id="43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the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Awarded university fees waiver after being recognized as the Best Second-Year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First-Year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Ranked second-best KCSE student in Gucha District, Kenya.</w:t>
      </w:r>
    </w:p>
    <w:bookmarkEnd w:id="43"/>
    <w:bookmarkStart w:id="44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2026-05-10T07:31:48Z</dcterms:created>
  <dcterms:modified xsi:type="dcterms:W3CDTF">2026-05-10T07:31:48Z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