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p>
      <w:pPr>
        <w:pStyle w:val="Compact"/>
        <w:numPr>
          <w:ilvl w:val="0"/>
          <w:numId w:val="1002"/>
        </w:numPr>
      </w:pPr>
      <w:r>
        <w:t xml:space="preserve">Provide data‑driven technical support for fund development, including guidance during the proposal development stage.</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2026-06-02T14:35:50Z</dcterms:created>
  <dcterms:modified xsi:type="dcterms:W3CDTF">2026-06-02T14:35:50Z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