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MEL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Monitoring, Evaluation, and Learning (MEL) and applied data science leader with 15+ years of experience across global health and development programs in Africa and international settings. Proven track record leading multi-country evidence, learning, and performance systems that support strategic decision-making and program improvement. Expertise in statistical analysis, program evaluation, implementation learning, and translating complex data into actionable insights for governments, donors, and implementing partners. Experienced in strengthening health information systems, managing large-scale programs and partnerships, and supporting evidence-informed strategy.</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and Learning (MEL)</w:t>
      </w:r>
    </w:p>
    <w:p>
      <w:pPr>
        <w:pStyle w:val="Compact"/>
        <w:numPr>
          <w:ilvl w:val="0"/>
          <w:numId w:val="1001"/>
        </w:numPr>
      </w:pPr>
      <w:r>
        <w:t xml:space="preserve">Evidence Systems, Adaptive Learning,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(DHIS2, EMR,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visceral leishmaniasis and trachoma within multi‑country NTD programs spanning 30+ countries, supporting over $50M disbursed and over 150M individuals reached annually</w:t>
      </w:r>
    </w:p>
    <w:p>
      <w:pPr>
        <w:pStyle w:val="Compact"/>
        <w:numPr>
          <w:ilvl w:val="0"/>
          <w:numId w:val="1002"/>
        </w:numPr>
      </w:pPr>
      <w:r>
        <w:t xml:space="preserve">Oversee development of MEL frameworks, indicators, and data systems to support program performance and impact measurement.</w:t>
      </w:r>
    </w:p>
    <w:p>
      <w:pPr>
        <w:pStyle w:val="Compact"/>
        <w:numPr>
          <w:ilvl w:val="0"/>
          <w:numId w:val="1002"/>
        </w:numPr>
      </w:pPr>
      <w:r>
        <w:t xml:space="preserve">Provide technical leadership in survey design, data analytics, and digital transformation initiatives.</w:t>
      </w:r>
    </w:p>
    <w:p>
      <w:pPr>
        <w:pStyle w:val="Compact"/>
        <w:numPr>
          <w:ilvl w:val="0"/>
          <w:numId w:val="1002"/>
        </w:numPr>
      </w:pPr>
      <w:r>
        <w:t xml:space="preserve">Support organizational strategy through advanced data analysis and evidence generation for donor and board reporting.</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program database development process in collaboration with</w:t>
      </w:r>
      <w:r>
        <w:t xml:space="preserve"> </w:t>
      </w:r>
      <w:hyperlink r:id="rId15">
        <w:r>
          <w:rPr>
            <w:rStyle w:val="Hyperlink"/>
          </w:rPr>
          <w:t xml:space="preserve">BAO systems</w:t>
        </w:r>
      </w:hyperlink>
      <w:r>
        <w:t xml:space="preserve">, the technical contractor.</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Designed and implemented data analysis frameworks and evaluation methodologies.</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Provided technical assistance to county health systems to strengthen data collection, analysis, and reporting.</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RMNCAH (Reproductive, Maternal, Newborn, Child, and Adolescent Health)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2026-05-13T12:34:04Z</dcterms:created>
  <dcterms:modified xsi:type="dcterms:W3CDTF">2026-05-13T12:34:04Z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