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Flight Recorder: User Guide</w:t>
      </w:r>
    </w:p>
    <w:p>
      <w:r>
        <w:t>A free, offline walkthrough of a governed AI workflow for insurance. Version 1.2, October 12, 2026. Author: Nathan Platter.</w:t>
      </w:r>
    </w:p>
    <w:p>
      <w:pPr>
        <w:pStyle w:val="Heading1"/>
      </w:pPr>
      <w:r>
        <w:t>1. What it is</w:t>
      </w:r>
    </w:p>
    <w:p>
      <w:r>
        <w:t>Flight Recorder is a single web page that walks you through five guardrails on one AI agent that summarizes underwriting files, then turns everything that happened into an evidence pack a regulator could read. It's built to teach a pattern, not to sell a tool. There's nothing to buy and no account to create.</w:t>
      </w:r>
    </w:p>
    <w:p>
      <w:r>
        <w:t>The five steps and the closer:</w:t>
      </w:r>
    </w:p>
    <w:p>
      <w:pPr>
        <w:pStyle w:val="ListNumber"/>
      </w:pPr>
      <w:r>
        <w:t>Permission card: what the agent may do, may never do, and who answers for it.</w:t>
      </w:r>
    </w:p>
    <w:p>
      <w:pPr>
        <w:pStyle w:val="ListNumber"/>
      </w:pPr>
      <w:r>
        <w:t>Summaries with sources: every sentence carries a tag back to the exact line in the file.</w:t>
      </w:r>
    </w:p>
    <w:p>
      <w:pPr>
        <w:pStyle w:val="ListNumber"/>
      </w:pPr>
      <w:r>
        <w:t>Second-pass verifier: a separate check opens each cited line and confirms every number and key term is there. It also notices when a line depends on a form that has been replaced.</w:t>
      </w:r>
    </w:p>
    <w:p>
      <w:pPr>
        <w:pStyle w:val="ListNumber"/>
      </w:pPr>
      <w:r>
        <w:t>Last year's form: every form, rider, and clause reference is checked against a forms library, dated or not. Retired or undated references hold for an underwriter.</w:t>
      </w:r>
    </w:p>
    <w:p>
      <w:pPr>
        <w:pStyle w:val="ListNumber"/>
      </w:pPr>
      <w:r>
        <w:t>Out-of-scope action: an instruction hidden in a broker note asks the agent to issue a $4,800 return premium. The gate blocks it, logs it, and escalates to named roles.</w:t>
      </w:r>
    </w:p>
    <w:p>
      <w:pPr>
        <w:pStyle w:val="ListNumber"/>
      </w:pPr>
      <w:r>
        <w:t>Watchlist: three scenario cards (state market exit, reinsurance territory gap, impersonation signals across a series of claims) where the system suspects something, gives reason codes, and routes to a named person. It never decides and never declares fraud.</w:t>
      </w:r>
    </w:p>
    <w:p>
      <w:pPr>
        <w:pStyle w:val="ListNumber"/>
      </w:pPr>
      <w:r>
        <w:t>Curveballs: 27 traps in nine categories (Claims, Payments and Billing, Underwriting and Policy, Health/Auth, Life, Workers' Comp, Reinsurance, Fraud and Identity, Data Quirks) that fool both a QC check and a careful reviewer. Filter chips switch category; Presenter picks shows four. Each shows the naive result, the guardrail result, what would have gone wrong, an estimated impact, a reason code, and a named reviewer.</w:t>
      </w:r>
    </w:p>
    <w:p>
      <w:pPr>
        <w:pStyle w:val="ListNumber"/>
      </w:pPr>
      <w:r>
        <w:t>Closer, the regulator asks: one click builds an evidence pack from the ledger, mapped to exact sections of the NAIC AI Model Bulletin and Colorado 3 CCR 702-10.</w:t>
      </w:r>
    </w:p>
    <w:p>
      <w:r>
        <w:t>Important: the "agent" in this demo is scripted. It produces the same output every time, so the demo works offline and the lesson is repeatable. The checks (verifier, version check, gate, ledger) are real code running in your browser. To use a live model, see section 8.</w:t>
      </w:r>
    </w:p>
    <w:p>
      <w:pPr>
        <w:pStyle w:val="Heading1"/>
      </w:pPr>
      <w:r>
        <w:t>2. What's synthetic and what's real</w:t>
      </w:r>
    </w:p>
    <w:p>
      <w:r>
        <w:t>Synthetic (invented): all three policy files and everything inside them (names, addresses, ages, medical readings, limits, layers, losses, percentages), the forms library (EB-204, WP-11, HC-3 and their editions), the agent name and its sentences, the $4,800 request, the ticket number, and every timestamp. Each file shows a purple SYNTHETIC SAMPLE DATA label.</w:t>
      </w:r>
    </w:p>
    <w:p>
      <w:r>
        <w:t>Real (public): the regulatory references, plus two statistics in step 6 card C (Verisk and Milliman), each shown with its source link. Full list in DATA-SOURCES.md and section 11.</w:t>
      </w:r>
    </w:p>
    <w:p>
      <w:pPr>
        <w:pStyle w:val="Heading1"/>
      </w:pPr>
      <w:r>
        <w:t>3. Requirements</w:t>
      </w:r>
    </w:p>
    <w:p>
      <w:pPr>
        <w:pStyle w:val="ListBullet"/>
      </w:pPr>
      <w:r>
        <w:t>Any current web browser: Safari, Chrome, Edge, or Firefox. That's it.</w:t>
      </w:r>
    </w:p>
    <w:p>
      <w:pPr>
        <w:pStyle w:val="ListBullet"/>
      </w:pPr>
      <w:r>
        <w:t>No internet needed once downloaded. Nothing is uploaded anywhere.</w:t>
      </w:r>
    </w:p>
    <w:p>
      <w:pPr>
        <w:pStyle w:val="ListBullet"/>
      </w:pPr>
      <w:r>
        <w:t>Optional: Python 3, only if you want to run a tiny local web server (useful if your company's browser settings block downloads from local files).</w:t>
      </w:r>
    </w:p>
    <w:p>
      <w:pPr>
        <w:pStyle w:val="Heading2"/>
      </w:pPr>
      <w:r>
        <w:t>Installing Python 3 (optional)</w:t>
      </w:r>
    </w:p>
    <w:p>
      <w:r>
        <w:t>Mac: open Terminal and type python3 --version. If you see a version number, you're done. If not, macOS will offer to install the Command Line Tools; click Install. Or download the installer from https://www.python.org/downloads/macos/.</w:t>
      </w:r>
    </w:p>
    <w:p>
      <w:r>
        <w:t>Windows: open the Microsoft Store, search "Python 3.12" (or newer), and click Get. Or download from https://www.python.org/downloads/windows/ and check "Add python.exe to PATH" during install. Confirm in Command Prompt with py --version.</w:t>
      </w:r>
    </w:p>
    <w:p>
      <w:pPr>
        <w:pStyle w:val="Heading1"/>
      </w:pPr>
      <w:r>
        <w:t>4. Getting the files</w:t>
      </w:r>
    </w:p>
    <w:p>
      <w:r>
        <w:t>Option A, no download at all: open https://nathanplatteruser.github.io/gis-2027/flight-recorder/ in your browser. Same demo, hosted on GitHub Pages.</w:t>
      </w:r>
    </w:p>
    <w:p>
      <w:r>
        <w:t>Option B, ZIP (no tools needed): go to https://github.com/nathanplatteruser/gis-2027, click the green Code button, then Download ZIP. On Mac, double-click the ZIP to unpack. On Windows, right-click the ZIP, choose Extract All, then Extract.</w:t>
      </w:r>
    </w:p>
    <w:p>
      <w:r>
        <w:t>Option C, git clone: git clone https://github.com/nathanplatteruser/gis-2027.git</w:t>
      </w:r>
    </w:p>
    <w:p>
      <w:pPr>
        <w:pStyle w:val="Heading1"/>
      </w:pPr>
      <w:r>
        <w:t>5. Running it</w:t>
      </w:r>
    </w:p>
    <w:p>
      <w:pPr>
        <w:pStyle w:val="Heading2"/>
      </w:pPr>
      <w:r>
        <w:t>Mac</w:t>
      </w:r>
    </w:p>
    <w:p>
      <w:pPr>
        <w:pStyle w:val="ListNumber"/>
      </w:pPr>
      <w:r>
        <w:t>Open the unpacked gis-2027 folder, then the flight-recorder folder.</w:t>
      </w:r>
    </w:p>
    <w:p>
      <w:pPr>
        <w:pStyle w:val="ListNumber"/>
      </w:pPr>
      <w:r>
        <w:t>Double-click index.html. It opens in your default browser.</w:t>
      </w:r>
    </w:p>
    <w:p>
      <w:pPr>
        <w:pStyle w:val="ListNumber"/>
      </w:pPr>
      <w:r>
        <w:t>Optional server: in Terminal, cd into the flight-recorder folder, run python3 -m http.server 8000, then open http://localhost:8000. Press Control+C to stop.</w:t>
      </w:r>
    </w:p>
    <w:p>
      <w:pPr>
        <w:pStyle w:val="Heading2"/>
      </w:pPr>
      <w:r>
        <w:t>Windows</w:t>
      </w:r>
    </w:p>
    <w:p>
      <w:pPr>
        <w:pStyle w:val="ListNumber"/>
      </w:pPr>
      <w:r>
        <w:t>Open the extracted gis-2027-main folder, then flight-recorder.</w:t>
      </w:r>
    </w:p>
    <w:p>
      <w:pPr>
        <w:pStyle w:val="ListNumber"/>
      </w:pPr>
      <w:r>
        <w:t>Double-click index.html. It opens in Edge or your default browser.</w:t>
      </w:r>
    </w:p>
    <w:p>
      <w:pPr>
        <w:pStyle w:val="ListNumber"/>
      </w:pPr>
      <w:r>
        <w:t>Optional server: in the folder's address bar type cmd and press Enter, run py -m http.server 8000, then open http://localhost:8000. Press Control+C to stop.</w:t>
      </w:r>
    </w:p>
    <w:p>
      <w:r>
        <w:t>Tips: add #step1 through #step8 to the address to jump to a step (earlier steps run automatically). Reset demo starts over. Left and right arrow keys move between steps. The ledger on the right records everything in order.</w:t>
      </w:r>
    </w:p>
    <w:p>
      <w:pPr>
        <w:pStyle w:val="Heading1"/>
      </w:pPr>
      <w:r>
        <w:t>6. Walking through each step</w:t>
      </w:r>
    </w:p>
    <w:p>
      <w:pPr>
        <w:pStyle w:val="Heading2"/>
      </w:pPr>
      <w:r>
        <w:t>Step 0. Quick intake</w:t>
      </w:r>
    </w:p>
    <w:p>
      <w:r>
        <w:t>Before the permission card, five one-tap questions take about 10 seconds: role (C-suite, VP, Director, Manager of people or roadmap, Hands-on practitioner); AI familiarity (never, sometimes, build or govern); closeness to raw files and data (results only, review files, live in the data and know text vs number vs decimal quirks); line of business (P&amp;C, Life/Health, Reinsurance, Workers' Comp, All); and what they want to see (outcome and risk avoided, the guardrail working, the actual curveball). Skip, show me everything turns on every view. The answers stay in the browser. Nothing is saved or sent, and the page makes no network calls.</w:t>
      </w:r>
    </w:p>
    <w:p>
      <w:r>
        <w:t>The answers set a profile. C-suite and VP get the Executive view: a bottom line and what would have happened on each step, a dollar impact summary on step 7 with card details collapsed, and an executive scorecard at the end. Director and Manager get the Manager view: who gets escalated, team workload by reviewer role, and checklist items. Hands-on practitioners get the Practitioner view: raw values on every curveball card, reason codes open, and the ledger fully expanded. Anyone who builds or governs AI workflows, or lives in the data, also gets the technical lines. Line of business picks the four presenter picks: P&amp;C gets depreciation, matching, time zone and claim clock; Life/Health gets auth denied, contestability, annuity suitability and handwriting; Reinsurance gets hours clause, treaty notice, bordereaux and units; Workers' Comp gets date of injury, data types, late payment and look-alike names; All gets handwriting, depreciation, auth denied and time zone.</w:t>
      </w:r>
    </w:p>
    <w:p>
      <w:r>
        <w:t>A Tailored for chip sits on every step with a change link. Changing mid-demo reopens the intake and returns you to the same step. The profile is the first ledger entry, every change is logged, and the profile appears in the evidence pack. The left arrow from step 1 opens the intake.</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step0.png"/>
                    <pic:cNvPicPr/>
                  </pic:nvPicPr>
                  <pic:blipFill>
                    <a:blip r:embed="rId9"/>
                    <a:stretch>
                      <a:fillRect/>
                    </a:stretch>
                  </pic:blipFill>
                  <pic:spPr>
                    <a:xfrm>
                      <a:off x="0" y="0"/>
                      <a:ext cx="5760720" cy="3600450"/>
                    </a:xfrm>
                    <a:prstGeom prst="rect"/>
                  </pic:spPr>
                </pic:pic>
              </a:graphicData>
            </a:graphic>
          </wp:inline>
        </w:drawing>
      </w:r>
    </w:p>
    <w:p>
      <w:r>
        <w:t>Executive view on step 7</w:t>
      </w:r>
    </w:p>
    <w:p>
      <w:r>
        <w:drawing>
          <wp:inline xmlns:a="http://schemas.openxmlformats.org/drawingml/2006/main" xmlns:pic="http://schemas.openxmlformats.org/drawingml/2006/picture">
            <wp:extent cx="5760720" cy="5724716"/>
            <wp:docPr id="2" name="Picture 2"/>
            <wp:cNvGraphicFramePr>
              <a:graphicFrameLocks noChangeAspect="1"/>
            </wp:cNvGraphicFramePr>
            <a:graphic>
              <a:graphicData uri="http://schemas.openxmlformats.org/drawingml/2006/picture">
                <pic:pic>
                  <pic:nvPicPr>
                    <pic:cNvPr id="0" name="persona-exec.png"/>
                    <pic:cNvPicPr/>
                  </pic:nvPicPr>
                  <pic:blipFill>
                    <a:blip r:embed="rId10"/>
                    <a:stretch>
                      <a:fillRect/>
                    </a:stretch>
                  </pic:blipFill>
                  <pic:spPr>
                    <a:xfrm>
                      <a:off x="0" y="0"/>
                      <a:ext cx="5760720" cy="5724716"/>
                    </a:xfrm>
                    <a:prstGeom prst="rect"/>
                  </pic:spPr>
                </pic:pic>
              </a:graphicData>
            </a:graphic>
          </wp:inline>
        </w:drawing>
      </w:r>
    </w:p>
    <w:p>
      <w:r>
        <w:t>Manager view on step 7</w:t>
      </w:r>
    </w:p>
    <w:p>
      <w:r>
        <w:drawing>
          <wp:inline xmlns:a="http://schemas.openxmlformats.org/drawingml/2006/main" xmlns:pic="http://schemas.openxmlformats.org/drawingml/2006/picture">
            <wp:extent cx="5760720" cy="9581197"/>
            <wp:docPr id="3" name="Picture 3"/>
            <wp:cNvGraphicFramePr>
              <a:graphicFrameLocks noChangeAspect="1"/>
            </wp:cNvGraphicFramePr>
            <a:graphic>
              <a:graphicData uri="http://schemas.openxmlformats.org/drawingml/2006/picture">
                <pic:pic>
                  <pic:nvPicPr>
                    <pic:cNvPr id="0" name="persona-mgr.png"/>
                    <pic:cNvPicPr/>
                  </pic:nvPicPr>
                  <pic:blipFill>
                    <a:blip r:embed="rId11"/>
                    <a:stretch>
                      <a:fillRect/>
                    </a:stretch>
                  </pic:blipFill>
                  <pic:spPr>
                    <a:xfrm>
                      <a:off x="0" y="0"/>
                      <a:ext cx="5760720" cy="9581197"/>
                    </a:xfrm>
                    <a:prstGeom prst="rect"/>
                  </pic:spPr>
                </pic:pic>
              </a:graphicData>
            </a:graphic>
          </wp:inline>
        </w:drawing>
      </w:r>
    </w:p>
    <w:p>
      <w:r>
        <w:t>Practitioner view on step 7</w:t>
      </w:r>
    </w:p>
    <w:p>
      <w:r>
        <w:drawing>
          <wp:inline xmlns:a="http://schemas.openxmlformats.org/drawingml/2006/main" xmlns:pic="http://schemas.openxmlformats.org/drawingml/2006/picture">
            <wp:extent cx="5760720" cy="37740717"/>
            <wp:docPr id="4" name="Picture 4"/>
            <wp:cNvGraphicFramePr>
              <a:graphicFrameLocks noChangeAspect="1"/>
            </wp:cNvGraphicFramePr>
            <a:graphic>
              <a:graphicData uri="http://schemas.openxmlformats.org/drawingml/2006/picture">
                <pic:pic>
                  <pic:nvPicPr>
                    <pic:cNvPr id="0" name="persona-prac.png"/>
                    <pic:cNvPicPr/>
                  </pic:nvPicPr>
                  <pic:blipFill>
                    <a:blip r:embed="rId12"/>
                    <a:stretch>
                      <a:fillRect/>
                    </a:stretch>
                  </pic:blipFill>
                  <pic:spPr>
                    <a:xfrm>
                      <a:off x="0" y="0"/>
                      <a:ext cx="5760720" cy="37740717"/>
                    </a:xfrm>
                    <a:prstGeom prst="rect"/>
                  </pic:spPr>
                </pic:pic>
              </a:graphicData>
            </a:graphic>
          </wp:inline>
        </w:drawing>
      </w:r>
    </w:p>
    <w:p>
      <w:pPr>
        <w:pStyle w:val="Heading2"/>
      </w:pPr>
      <w:r>
        <w:t>Step 1. Permission card</w:t>
      </w:r>
    </w:p>
    <w:p>
      <w:r>
        <w:t>Read the allowed and never-allowed lists. Click Load this card and continue. The ledger records who owns the agent. Maps to NAIC AIS Program Guidelines 2.3(b) and 3.1.</w:t>
      </w:r>
    </w:p>
    <w:p>
      <w:r>
        <w:drawing>
          <wp:inline xmlns:a="http://schemas.openxmlformats.org/drawingml/2006/main" xmlns:pic="http://schemas.openxmlformats.org/drawingml/2006/picture">
            <wp:extent cx="5760720" cy="4688586"/>
            <wp:docPr id="5" name="Picture 5"/>
            <wp:cNvGraphicFramePr>
              <a:graphicFrameLocks noChangeAspect="1"/>
            </wp:cNvGraphicFramePr>
            <a:graphic>
              <a:graphicData uri="http://schemas.openxmlformats.org/drawingml/2006/picture">
                <pic:pic>
                  <pic:nvPicPr>
                    <pic:cNvPr id="0" name="step1.png"/>
                    <pic:cNvPicPr/>
                  </pic:nvPicPr>
                  <pic:blipFill>
                    <a:blip r:embed="rId13"/>
                    <a:stretch>
                      <a:fillRect/>
                    </a:stretch>
                  </pic:blipFill>
                  <pic:spPr>
                    <a:xfrm>
                      <a:off x="0" y="0"/>
                      <a:ext cx="5760720" cy="4688586"/>
                    </a:xfrm>
                    <a:prstGeom prst="rect"/>
                  </pic:spPr>
                </pic:pic>
              </a:graphicData>
            </a:graphic>
          </wp:inline>
        </w:drawing>
      </w:r>
    </w:p>
    <w:p>
      <w:pPr>
        <w:pStyle w:val="Heading2"/>
      </w:pPr>
      <w:r>
        <w:t>Step 2. Summaries with sources</w:t>
      </w:r>
    </w:p>
    <w:p>
      <w:r>
        <w:t>Three files: commercial property, individual term life, property cat treaty. Click any blue source tag to highlight the exact line. Sentences marked "no source given" are the agent's own embellishments.</w:t>
      </w:r>
    </w:p>
    <w:p>
      <w:r>
        <w:drawing>
          <wp:inline xmlns:a="http://schemas.openxmlformats.org/drawingml/2006/main" xmlns:pic="http://schemas.openxmlformats.org/drawingml/2006/picture">
            <wp:extent cx="5760720" cy="6768846"/>
            <wp:docPr id="6" name="Picture 6"/>
            <wp:cNvGraphicFramePr>
              <a:graphicFrameLocks noChangeAspect="1"/>
            </wp:cNvGraphicFramePr>
            <a:graphic>
              <a:graphicData uri="http://schemas.openxmlformats.org/drawingml/2006/picture">
                <pic:pic>
                  <pic:nvPicPr>
                    <pic:cNvPr id="0" name="step2.png"/>
                    <pic:cNvPicPr/>
                  </pic:nvPicPr>
                  <pic:blipFill>
                    <a:blip r:embed="rId14"/>
                    <a:stretch>
                      <a:fillRect/>
                    </a:stretch>
                  </pic:blipFill>
                  <pic:spPr>
                    <a:xfrm>
                      <a:off x="0" y="0"/>
                      <a:ext cx="5760720" cy="6768846"/>
                    </a:xfrm>
                    <a:prstGeom prst="rect"/>
                  </pic:spPr>
                </pic:pic>
              </a:graphicData>
            </a:graphic>
          </wp:inline>
        </w:drawing>
      </w:r>
    </w:p>
    <w:p>
      <w:pPr>
        <w:pStyle w:val="Heading2"/>
      </w:pPr>
      <w:r>
        <w:t>Step 3. Second-pass verifier</w:t>
      </w:r>
    </w:p>
    <w:p>
      <w:r>
        <w:t>Green: every number and key term was found in the cited line. Red (struck through): unsupported, removed. Example: the agent wrote $9.8M where the file says $8.9M. Amber: supported by a superseded source. The EB-204 sublimit is correct for the retired edition, which is exactly why it's dangerous. Maps to NAIC Sec. 3 verification and testing, and AIS Program Guidelines 3.4.</w:t>
      </w:r>
    </w:p>
    <w:p>
      <w:r>
        <w:drawing>
          <wp:inline xmlns:a="http://schemas.openxmlformats.org/drawingml/2006/main" xmlns:pic="http://schemas.openxmlformats.org/drawingml/2006/picture">
            <wp:extent cx="5760720" cy="7872984"/>
            <wp:docPr id="7" name="Picture 7"/>
            <wp:cNvGraphicFramePr>
              <a:graphicFrameLocks noChangeAspect="1"/>
            </wp:cNvGraphicFramePr>
            <a:graphic>
              <a:graphicData uri="http://schemas.openxmlformats.org/drawingml/2006/picture">
                <pic:pic>
                  <pic:nvPicPr>
                    <pic:cNvPr id="0" name="step3.png"/>
                    <pic:cNvPicPr/>
                  </pic:nvPicPr>
                  <pic:blipFill>
                    <a:blip r:embed="rId15"/>
                    <a:stretch>
                      <a:fillRect/>
                    </a:stretch>
                  </pic:blipFill>
                  <pic:spPr>
                    <a:xfrm>
                      <a:off x="0" y="0"/>
                      <a:ext cx="5760720" cy="7872984"/>
                    </a:xfrm>
                    <a:prstGeom prst="rect"/>
                  </pic:spPr>
                </pic:pic>
              </a:graphicData>
            </a:graphic>
          </wp:inline>
        </w:drawing>
      </w:r>
    </w:p>
    <w:p>
      <w:pPr>
        <w:pStyle w:val="Heading2"/>
      </w:pPr>
      <w:r>
        <w:t>Step 4. Last year's form</w:t>
      </w:r>
    </w:p>
    <w:p>
      <w:r>
        <w:t>Two holds: EB-204 (ed. 01/2022) was retired, and HC-3 is cited with no edition at all. Click Underwriter: confirm current version for each. The ledger shows what changed. Maps to NAIC 3.2 data currency and Colorado Sec. 5.A.9 version control.</w:t>
      </w:r>
    </w:p>
    <w:p>
      <w:r>
        <w:drawing>
          <wp:inline xmlns:a="http://schemas.openxmlformats.org/drawingml/2006/main" xmlns:pic="http://schemas.openxmlformats.org/drawingml/2006/picture">
            <wp:extent cx="5760720" cy="7552944"/>
            <wp:docPr id="8" name="Picture 8"/>
            <wp:cNvGraphicFramePr>
              <a:graphicFrameLocks noChangeAspect="1"/>
            </wp:cNvGraphicFramePr>
            <a:graphic>
              <a:graphicData uri="http://schemas.openxmlformats.org/drawingml/2006/picture">
                <pic:pic>
                  <pic:nvPicPr>
                    <pic:cNvPr id="0" name="step4.png"/>
                    <pic:cNvPicPr/>
                  </pic:nvPicPr>
                  <pic:blipFill>
                    <a:blip r:embed="rId16"/>
                    <a:stretch>
                      <a:fillRect/>
                    </a:stretch>
                  </pic:blipFill>
                  <pic:spPr>
                    <a:xfrm>
                      <a:off x="0" y="0"/>
                      <a:ext cx="5760720" cy="7552944"/>
                    </a:xfrm>
                    <a:prstGeom prst="rect"/>
                  </pic:spPr>
                </pic:pic>
              </a:graphicData>
            </a:graphic>
          </wp:inline>
        </w:drawing>
      </w:r>
    </w:p>
    <w:p>
      <w:pPr>
        <w:pStyle w:val="Heading2"/>
      </w:pPr>
      <w:r>
        <w:t>Step 5. Out-of-scope action</w:t>
      </w:r>
    </w:p>
    <w:p>
      <w:r>
        <w:t>The red dashed text in the broker note is the hidden instruction. The gate blocks the $4,800 return premium for two reasons and pages two roles. Choose Supervisor: reject or route. Maps to NAIC 3.1 and 2.3(d).</w:t>
      </w:r>
    </w:p>
    <w:p>
      <w:r>
        <w:drawing>
          <wp:inline xmlns:a="http://schemas.openxmlformats.org/drawingml/2006/main" xmlns:pic="http://schemas.openxmlformats.org/drawingml/2006/picture">
            <wp:extent cx="5760720" cy="9341168"/>
            <wp:docPr id="9" name="Picture 9"/>
            <wp:cNvGraphicFramePr>
              <a:graphicFrameLocks noChangeAspect="1"/>
            </wp:cNvGraphicFramePr>
            <a:graphic>
              <a:graphicData uri="http://schemas.openxmlformats.org/drawingml/2006/picture">
                <pic:pic>
                  <pic:nvPicPr>
                    <pic:cNvPr id="0" name="step5.png"/>
                    <pic:cNvPicPr/>
                  </pic:nvPicPr>
                  <pic:blipFill>
                    <a:blip r:embed="rId17"/>
                    <a:stretch>
                      <a:fillRect/>
                    </a:stretch>
                  </pic:blipFill>
                  <pic:spPr>
                    <a:xfrm>
                      <a:off x="0" y="0"/>
                      <a:ext cx="5760720" cy="9341168"/>
                    </a:xfrm>
                    <a:prstGeom prst="rect"/>
                  </pic:spPr>
                </pic:pic>
              </a:graphicData>
            </a:graphic>
          </wp:inline>
        </w:drawing>
      </w:r>
    </w:p>
    <w:p>
      <w:pPr>
        <w:pStyle w:val="Heading2"/>
      </w:pPr>
      <w:r>
        <w:t>Step 6. Watchlist: sneaky cases</w:t>
      </w:r>
    </w:p>
    <w:p>
      <w:r>
        <w:t>Card A, market exit: the carrier withdrew from homeowners in the fictional state of Westland, yet a new quote arrived. Routed to the regional Underwriting Manager (APPETITE_CONFLICT). Card B, reinsurance mismatch: the primary still writes commercial property in Westland, but the reinsurer excluded Westland from the treaty, so the ceded share may be uncovered. Routed to the Ceded Reinsurance Manager (TREATY_TERRITORY_GAP). Card C, impersonation: a callback to the number on file reached someone else, a video statement was recorded before the date of loss, a broker approval came from a look-alike domain, and three claims share a device, a bank account, and phrasing. Routed to an SIU Analyst (IMPERSONATION_SIGNALS). Click confirm or clear on each. Card C shows two public stats with their sources (Verisk, Milliman). Maps to NAIC Sec. 3 risk consideration (iii) and AIS Program Guidelines 2.3(d).</w:t>
      </w:r>
    </w:p>
    <w:p>
      <w:r>
        <w:drawing>
          <wp:inline xmlns:a="http://schemas.openxmlformats.org/drawingml/2006/main" xmlns:pic="http://schemas.openxmlformats.org/drawingml/2006/picture">
            <wp:extent cx="5760720" cy="12765596"/>
            <wp:docPr id="10" name="Picture 10"/>
            <wp:cNvGraphicFramePr>
              <a:graphicFrameLocks noChangeAspect="1"/>
            </wp:cNvGraphicFramePr>
            <a:graphic>
              <a:graphicData uri="http://schemas.openxmlformats.org/drawingml/2006/picture">
                <pic:pic>
                  <pic:nvPicPr>
                    <pic:cNvPr id="0" name="step6.png"/>
                    <pic:cNvPicPr/>
                  </pic:nvPicPr>
                  <pic:blipFill>
                    <a:blip r:embed="rId18"/>
                    <a:stretch>
                      <a:fillRect/>
                    </a:stretch>
                  </pic:blipFill>
                  <pic:spPr>
                    <a:xfrm>
                      <a:off x="0" y="0"/>
                      <a:ext cx="5760720" cy="12765596"/>
                    </a:xfrm>
                    <a:prstGeom prst="rect"/>
                  </pic:spPr>
                </pic:pic>
              </a:graphicData>
            </a:graphic>
          </wp:inline>
        </w:drawing>
      </w:r>
    </w:p>
    <w:p>
      <w:pPr>
        <w:pStyle w:val="Heading2"/>
      </w:pPr>
      <w:r>
        <w:t>Step 7. Curveballs</w:t>
      </w:r>
    </w:p>
    <w:p>
      <w:r>
        <w:t>Each card shows four things in plain English: what a naive check concluded (red), what the guardrail caught (green), what would have gone wrong, and the impact, always labeled as an estimate. 1. Handwriting (OCR_LOW_CONFIDENCE): a synthetic margin note reads $1,500 at 0.58 confidence against a typed $7,500; a Claims Adjuster reads the original. 2. Amounts as text (TYPE_COERCION): "12,500.00" vs "12.500,00", "1.25E4", and a trailing space all fail a string compare, and parseFloat turns 12.500,00 into 12.5; policy 00047213 loses its zeros as a number. 3. Rounding drift (PRECISION_DRIFT): $0.125 rounded on each of 2,000 lines is $10 off the exact total. 4. Stale privacy notice (STALE_COMPLIANCE_DOC): search ranks the 2023 edition first; the effective-date check holds it and shows 2025. 5. Time-zone cutoff (TIMEZONE_BIND): a loss logged as 07/01 04:58 UTC is 11:58 PM on 06/30 in Central, before 12:01 AM inception. 6. Units (UNIT_MISMATCH): a treaty schedule in thousands. 7. Look-alike name (HOMOGLYPH_DUPLICATE): Jon Mіller uses a Cyrillic letter; Unicode confusable normalization (TR39) matches John Miller. 8. Date format (DATE_FORMAT_AMBIGUOUS): 03/04 from an EU-locale portal. 9. Producer license (PRODUCER_LICENSE_LAPSED): expired two days before binding. v1.3 adds 18 more: claim acknowledgment clock, depreciation math, auth on file denied anyway, deductible owed after subrogation, treaty notice missed, AI photo provenance (routed to SIU, never called fraud), late payment after settlement, premium increase or double billing, policy identifier mismatch, life contestability with a name/DOB mismatch, workers' comp date-of-injury mismatch, matching siding, wildfire hours clause, late MGA bordereaux, annuity suitability, a sanctions-style near-match using fictional names, copy-paste totals, and hidden white text in a PDF. Each card links to a real public source describing that friction; the card data is synthetic. Use the category chips, Re-run all checks, and Mark all spot-checks done. Every hold lands in the ledger with its category and in the evidence pack. Maps to NAIC AIS Program Guidelines 3.2 and 3.4.</w:t>
      </w:r>
    </w:p>
    <w:p>
      <w:r>
        <w:drawing>
          <wp:inline xmlns:a="http://schemas.openxmlformats.org/drawingml/2006/main" xmlns:pic="http://schemas.openxmlformats.org/drawingml/2006/picture">
            <wp:extent cx="5760720" cy="51334416"/>
            <wp:docPr id="11" name="Picture 11"/>
            <wp:cNvGraphicFramePr>
              <a:graphicFrameLocks noChangeAspect="1"/>
            </wp:cNvGraphicFramePr>
            <a:graphic>
              <a:graphicData uri="http://schemas.openxmlformats.org/drawingml/2006/picture">
                <pic:pic>
                  <pic:nvPicPr>
                    <pic:cNvPr id="0" name="step7.png"/>
                    <pic:cNvPicPr/>
                  </pic:nvPicPr>
                  <pic:blipFill>
                    <a:blip r:embed="rId19"/>
                    <a:stretch>
                      <a:fillRect/>
                    </a:stretch>
                  </pic:blipFill>
                  <pic:spPr>
                    <a:xfrm>
                      <a:off x="0" y="0"/>
                      <a:ext cx="5760720" cy="51334416"/>
                    </a:xfrm>
                    <a:prstGeom prst="rect"/>
                  </pic:spPr>
                </pic:pic>
              </a:graphicData>
            </a:graphic>
          </wp:inline>
        </w:drawing>
      </w:r>
    </w:p>
    <w:p>
      <w:pPr>
        <w:pStyle w:val="Heading2"/>
      </w:pPr>
      <w:r>
        <w:t>Closer. The regulator asks</w:t>
      </w:r>
    </w:p>
    <w:p>
      <w:r>
        <w:t>Read the mapping table, then click Download evidence pack. You get a standalone HTML file with the table, sources, and full ledger. Print this page also works and hides the navigation.</w:t>
      </w:r>
    </w:p>
    <w:p>
      <w:r>
        <w:drawing>
          <wp:inline xmlns:a="http://schemas.openxmlformats.org/drawingml/2006/main" xmlns:pic="http://schemas.openxmlformats.org/drawingml/2006/picture">
            <wp:extent cx="5760720" cy="51714464"/>
            <wp:docPr id="12" name="Picture 12"/>
            <wp:cNvGraphicFramePr>
              <a:graphicFrameLocks noChangeAspect="1"/>
            </wp:cNvGraphicFramePr>
            <a:graphic>
              <a:graphicData uri="http://schemas.openxmlformats.org/drawingml/2006/picture">
                <pic:pic>
                  <pic:nvPicPr>
                    <pic:cNvPr id="0" name="step8.png"/>
                    <pic:cNvPicPr/>
                  </pic:nvPicPr>
                  <pic:blipFill>
                    <a:blip r:embed="rId20"/>
                    <a:stretch>
                      <a:fillRect/>
                    </a:stretch>
                  </pic:blipFill>
                  <pic:spPr>
                    <a:xfrm>
                      <a:off x="0" y="0"/>
                      <a:ext cx="5760720" cy="51714464"/>
                    </a:xfrm>
                    <a:prstGeom prst="rect"/>
                  </pic:spPr>
                </pic:pic>
              </a:graphicData>
            </a:graphic>
          </wp:inline>
        </w:drawing>
      </w:r>
    </w:p>
    <w:p>
      <w:pPr>
        <w:pStyle w:val="Heading1"/>
      </w:pPr>
      <w:r>
        <w:t>7. Customizing with your own permission card and forms</w:t>
      </w:r>
    </w:p>
    <w:p>
      <w:r>
        <w:t>Everything you'd change lives near the top of the script block in index.html. Open it in any text editor (TextEdit in plain-text mode on Mac, Notepad on Windows). Keep a backup copy first.</w:t>
      </w:r>
    </w:p>
    <w:p>
      <w:pPr>
        <w:pStyle w:val="ListBullet"/>
      </w:pPr>
      <w:r>
        <w:t>CARD: agent name, business owner, allowed and notAllowed lists, escalateTo, and the human rule. Start from takehomes/permission-card-template.md.</w:t>
      </w:r>
    </w:p>
    <w:p>
      <w:pPr>
        <w:pStyle w:val="ListBullet"/>
      </w:pPr>
      <w:r>
        <w:t>FILES: each file has an id, line, title, and text. Each fact line starts with a tag like [P1]. Keep the SYNTHETIC SAMPLE DATA label unless the data is real and you're cleared to show it. Never put real customer data in a demo.</w:t>
      </w:r>
    </w:p>
    <w:p>
      <w:pPr>
        <w:pStyle w:val="ListBullet"/>
      </w:pPr>
      <w:r>
        <w:t>FORMS: one row per form edition with code, ed, status (CURRENT or RETIRED), and for retired rows the retired date, replacedBy, and change. Any reference in a file that looks like two or three capital letters, a dash, and digits (EB-204, HC-3, WP-11) is checked, with or without an edition.</w:t>
      </w:r>
    </w:p>
    <w:p>
      <w:pPr>
        <w:pStyle w:val="ListBullet"/>
      </w:pPr>
      <w:r>
        <w:t>SUMMARY: the scripted agent output, as pairs of [sentence, source tag]. Use null for a sentence with no source.</w:t>
      </w:r>
    </w:p>
    <w:p>
      <w:pPr>
        <w:pStyle w:val="ListBullet"/>
      </w:pPr>
      <w:r>
        <w:t>PROPOSED_ACTION: the out-of-scope action the agent tries.</w:t>
      </w:r>
    </w:p>
    <w:p>
      <w:pPr>
        <w:pStyle w:val="ListBullet"/>
      </w:pPr>
      <w:r>
        <w:t>SCEN: the watchlist cards. Each has a title, file, list of signals, the named role it routes to, a reason code, and the section reference. Keep the rule: the system suspects, a person decides.</w:t>
      </w:r>
    </w:p>
    <w:p>
      <w:pPr>
        <w:pStyle w:val="ListBullet"/>
      </w:pPr>
      <w:r>
        <w:t>CB: the curveballs. Each has an id, title, reason code, route, the plain-English wrong and impact text, and a run() function that performs the real check. Edit the inputs inside run() to try your own messy data.</w:t>
      </w:r>
    </w:p>
    <w:p>
      <w:pPr>
        <w:pStyle w:val="ListBullet"/>
      </w:pPr>
      <w:r>
        <w:t>MAP: the evidence-pack table. If you cite a regulation, cite the exact section and keep the URL and date accessed.</w:t>
      </w:r>
    </w:p>
    <w:p>
      <w:r>
        <w:t>How the verifier decides: it pulls every number from the sentence (dollar amounts, percentages, dates, readings) and requires each one in the cited line. It also requires at least half of the longer words in the sentence to appear in that line. Then it checks any form referenced in that line against the library. It's a teaching heuristic, not a full fact checker. Paraphrased claims without numbers can slip through, and that's worth saying out loud in the room.</w:t>
      </w:r>
    </w:p>
    <w:p>
      <w:r>
        <w:t>Using a live model: replace the SUMMARY object with output from your approved model, keeping the [sentence, tag] shape. Leave the verifier, version check, gate, and ledger as they are. That's the point: the guardrails don't trust the model.</w:t>
      </w:r>
    </w:p>
    <w:p>
      <w:pPr>
        <w:pStyle w:val="Heading1"/>
      </w:pPr>
      <w:r>
        <w:t>8. Troubleshooting</w:t>
      </w:r>
    </w:p>
    <w:p>
      <w:pPr>
        <w:pStyle w:val="ListBullet"/>
      </w:pPr>
      <w:r>
        <w:t>Blank page: make sure you opened index.html from inside the flight-recorder folder, not from inside the ZIP preview. Unzip first.</w:t>
      </w:r>
    </w:p>
    <w:p>
      <w:pPr>
        <w:pStyle w:val="ListBullet"/>
      </w:pPr>
      <w:r>
        <w:t>Download evidence pack does nothing: some managed browsers block downloads from local files. Use the optional local server (section 5), the GitHub Pages link, or Print this page.</w:t>
      </w:r>
    </w:p>
    <w:p>
      <w:pPr>
        <w:pStyle w:val="ListBullet"/>
      </w:pPr>
      <w:r>
        <w:t>Safari asks where to save, or saves to Downloads silently: that's normal. Look for evidence-pack-SAMPLE.html.</w:t>
      </w:r>
    </w:p>
    <w:p>
      <w:pPr>
        <w:pStyle w:val="ListBullet"/>
      </w:pPr>
      <w:r>
        <w:t>Windows shows a SmartScreen or "protected view" warning: the file is plain HTML. Right-click, Properties, check Unblock if shown.</w:t>
      </w:r>
    </w:p>
    <w:p>
      <w:pPr>
        <w:pStyle w:val="ListBullet"/>
      </w:pPr>
      <w:r>
        <w:t>python3 or py not found: Python isn't installed or isn't on PATH. See section 3, or skip the server.</w:t>
      </w:r>
    </w:p>
    <w:p>
      <w:pPr>
        <w:pStyle w:val="ListBullet"/>
      </w:pPr>
      <w:r>
        <w:t>Port 8000 in use: pick another, for example python3 -m http.server 8080.</w:t>
      </w:r>
    </w:p>
    <w:p>
      <w:pPr>
        <w:pStyle w:val="ListBullet"/>
      </w:pPr>
      <w:r>
        <w:t>Steps look out of order after editing: click Reset demo, or remove #stepN from the address.</w:t>
      </w:r>
    </w:p>
    <w:p>
      <w:pPr>
        <w:pStyle w:val="ListBullet"/>
      </w:pPr>
      <w:r>
        <w:t>Handwriting looks different on your machine: the note uses whatever script-style font your computer has (Segoe Script on Windows, Bradley Hand on Mac). The ambiguity is the point, not the font.</w:t>
      </w:r>
    </w:p>
    <w:p>
      <w:pPr>
        <w:pStyle w:val="ListBullet"/>
      </w:pPr>
      <w:r>
        <w:t>Projector cuts off the ledger: zoom out with Command+minus (Mac) or Control+minus (Windows). Below 900 pixels wide, the ledger moves under the main panel.</w:t>
      </w:r>
    </w:p>
    <w:p>
      <w:pPr>
        <w:pStyle w:val="Heading1"/>
      </w:pPr>
      <w:r>
        <w:t>9. Testing done</w:t>
      </w:r>
    </w:p>
    <w:p>
      <w:r>
        <w:t>The intake (each persona path, skip, change mid-demo, arrow keys), all seven screens, the source click, both holds, the supervisor decision, all three watchlist spot-checks, the curveball filters and all 27 curveball spot-checks, arrow-key navigation, and the evidence-pack download were run automatically in browser engines set up to imitate Safari on Mac (1440x900 and 1280x800), Edge on Windows (1920x1080 and 1366x768), and Firefox, from both a local file and a local server, plus the GitHub Pages copy. This is emulation, not real Mac or Windows hardware. See TEST-REPORT.md.</w:t>
      </w:r>
    </w:p>
    <w:p>
      <w:pPr>
        <w:pStyle w:val="Heading1"/>
      </w:pPr>
      <w:r>
        <w:t>10. Take-homes</w:t>
      </w:r>
    </w:p>
    <w:p>
      <w:pPr>
        <w:pStyle w:val="ListBullet"/>
      </w:pPr>
      <w:r>
        <w:t>takehomes/permission-card-template.md: a one-page card to fill out before any agent touches production.</w:t>
      </w:r>
    </w:p>
    <w:p>
      <w:pPr>
        <w:pStyle w:val="ListBullet"/>
      </w:pPr>
      <w:r>
        <w:t>takehomes/curveball-checklist.md: all 27 traps by category, with a public friction source with the guardrail for each.</w:t>
      </w:r>
    </w:p>
    <w:p>
      <w:pPr>
        <w:pStyle w:val="ListBullet"/>
      </w:pPr>
      <w:r>
        <w:t>takehomes/pilot-to-production-checklist.md: ten questions, each mapped to a bulletin section.</w:t>
      </w:r>
    </w:p>
    <w:p>
      <w:pPr>
        <w:pStyle w:val="Heading1"/>
      </w:pPr>
      <w:r>
        <w:t>11. Sources (accessed October 12, 2026)</w:t>
      </w:r>
    </w:p>
    <w:p>
      <w:r>
        <w:t>NAIC Model Bulletin: Use of Artificial Intelligence Systems by Insurers, adopted December 4, 2023. Sections used: Sec. 3 AIS Program Guidelines 1.3, 2.3(b), 2.3(d), 3.1, 3.2, 3.4, 3.6, and risk consideration (iii); Sec. 4 items 1.1(e)(i)(1), 1.3, 1.3(b). https://content.naic.org/sites/default/files/cmte-h-big-data-artificial-intelligence-wg-ai-model-bulletin.pdf.pdf</w:t>
      </w:r>
    </w:p>
    <w:p>
      <w:r>
        <w:t>Colorado 3 CCR 702-10, Regulation 10-1-1, amended effective October 15, 2025. Sections used: Sec. 3 applicability (individual life, private passenger auto, health benefit plans), Sec. 4.D ECDIS definition, Sec. 5.A.6, 5.A.9, 5.C. https://sos.state.co.us/CCR/GenerateRulePdf.do?fileName=3+CCR+702-10&amp;ruleVersionId=12182</w:t>
      </w:r>
    </w:p>
    <w:p>
      <w:r>
        <w:t>Verisk, State of Insurance Fraud study: https://www.verisk.com/49411b/siteassets/media/campaigns/gated/claims/verisk-state-of-insurance-fraud-study.pdf</w:t>
      </w:r>
    </w:p>
    <w:p>
      <w:r>
        <w:t>Unicode Technical Standard #39, Unicode Security Mechanisms: https://www.unicode.org/reports/tr39/</w:t>
      </w:r>
    </w:p>
    <w:p>
      <w:r>
        <w:t>Milliman, Accidents that never happened: Generative AI and fraud in motor insurance, December 2025: https://media.milliman.com/v1/media/edge/images/millimaninc5660-milliman6442-prod27d5-0001/media/Milliman/PDFs/2025-Articles/12-3-25_Accidents-that-never-happened.pdf</w:t>
      </w:r>
    </w:p>
    <w:p>
      <w:r>
        <w:t>Teaching example, not legal advice. Check your own state's adopted version. Licensed MIT: copy it, change it, use it at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