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Steps to follow.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Open the package and read the content types.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Follow the relationship to the main document part.</w:t>
      </w:r>
    </w:p>
    <w:p>
      <w:pPr>
        <w:numPr>
          <w:ilvl w:val="1"/>
          <w:numId w:val="1"/>
        </w:numPr>
      </w:pPr>
      <w:r>
        <w:rPr>
          <w:rFonts w:ascii="Times New Roman" w:hAnsi="Times New Roman"/>
          <w:sz w:val="24"/>
        </w:rPr>
        <w:t xml:space="preserve">Resolve the style cascade before measuring anything.</w:t>
      </w:r>
    </w:p>
    <w:p>
      <w:pPr>
        <w:numPr>
          <w:ilvl w:val="1"/>
          <w:numId w:val="1"/>
        </w:numPr>
      </w:pPr>
      <w:r>
        <w:rPr>
          <w:rFonts w:ascii="Times New Roman" w:hAnsi="Times New Roman"/>
          <w:sz w:val="24"/>
        </w:rPr>
        <w:t xml:space="preserve">Break the lines against real font metrics.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Write the pages out.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Things to remember.</w:t>
      </w:r>
    </w:p>
    <w:p>
      <w:pPr>
        <w:numPr>
          <w:ilvl w:val="0"/>
          <w:numId w:val="2"/>
        </w:numPr>
      </w:pPr>
      <w:r>
        <w:rPr>
          <w:rFonts w:ascii="Times New Roman" w:hAnsi="Times New Roman"/>
          <w:sz w:val="24"/>
        </w:rPr>
        <w:t xml:space="preserve">Twips are twentieths of a point.</w:t>
      </w:r>
    </w:p>
    <w:p>
      <w:pPr>
        <w:numPr>
          <w:ilvl w:val="0"/>
          <w:numId w:val="2"/>
        </w:numPr>
      </w:pPr>
      <w:r>
        <w:rPr>
          <w:rFonts w:ascii="Times New Roman" w:hAnsi="Times New Roman"/>
          <w:sz w:val="24"/>
        </w:rPr>
        <w:t xml:space="preserve">Half-points are for font sizes only.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End of the list.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abstractNum w:abstractNumId="1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Num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