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1040" name="Chart 104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spacing w:before="0" w:after="0" w:line="240" w:lineRule="auto"/>
      </w:pPr>
      <w:r>
        <w:t>rotX 10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1" name="Chart 104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"/>
              </a:graphicData>
            </a:graphic>
          </wp:inline>
        </w:drawing>
      </w:r>
    </w:p>
    <w:p>
      <w:pPr>
        <w:spacing w:before="0" w:after="0" w:line="240" w:lineRule="auto"/>
      </w:pPr>
      <w:r>
        <w:t>rotX 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2" name="Chart 104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"/>
              </a:graphicData>
            </a:graphic>
          </wp:inline>
        </w:drawing>
      </w:r>
    </w:p>
    <w:p>
      <w:pPr>
        <w:spacing w:before="0" w:after="0" w:line="240" w:lineRule="auto"/>
      </w:pPr>
      <w:r>
        <w:t>rotX 20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3" name="Chart 104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4"/>
              </a:graphicData>
            </a:graphic>
          </wp:inline>
        </w:drawing>
      </w:r>
    </w:p>
    <w:p>
      <w:pPr>
        <w:spacing w:before="0" w:after="0" w:line="240" w:lineRule="auto"/>
      </w:pPr>
      <w:r>
        <w:t>rotX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4" name="Chart 104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5"/>
              </a:graphicData>
            </a:graphic>
          </wp:inline>
        </w:drawing>
      </w:r>
    </w:p>
    <w:p>
      <w:pPr>
        <w:spacing w:before="0" w:after="0" w:line="240" w:lineRule="auto"/>
      </w:pPr>
      <w:r>
        <w:t>rotX 30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5" name="Chart 104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6"/>
              </a:graphicData>
            </a:graphic>
          </wp:inline>
        </w:drawing>
      </w:r>
    </w:p>
    <w:p>
      <w:pPr>
        <w:spacing w:before="0" w:after="0" w:line="240" w:lineRule="auto"/>
      </w:pPr>
      <w:r>
        <w:t>rotX 35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6" name="Chart 104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7"/>
              </a:graphicData>
            </a:graphic>
          </wp:inline>
        </w:drawing>
      </w:r>
    </w:p>
    <w:p>
      <w:pPr>
        <w:spacing w:before="0" w:after="0" w:line="240" w:lineRule="auto"/>
      </w:pPr>
      <w:r>
        <w:t>rotX 40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7" name="Chart 104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8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8" name="Chart 104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9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50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9" name="Chart 104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0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200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50" name="Chart 105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1"/>
              </a:graphicData>
            </a:graphic>
          </wp:inline>
        </w:drawing>
      </w:r>
    </w:p>
    <w:p>
      <w:pPr>
        <w:spacing w:before="0" w:after="0" w:line="240" w:lineRule="auto"/>
      </w:pPr>
      <w:r>
        <w:t>rotX 25, depth 400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openxmlformats.org/officeDocument/2006/relationships/chart" Target="charts/chart7.xml"/><Relationship Id="rIdChart8" Type="http://schemas.openxmlformats.org/officeDocument/2006/relationships/chart" Target="charts/chart8.xml"/><Relationship Id="rIdChart9" Type="http://schemas.openxmlformats.org/officeDocument/2006/relationships/chart" Target="charts/chart9.xml"/><Relationship Id="rIdChart10" Type="http://schemas.openxmlformats.org/officeDocument/2006/relationships/chart" Target="charts/chart10.xml"/><Relationship Id="rIdChart11" Type="http://schemas.openxmlformats.org/officeDocument/2006/relationships/chart" Target="charts/chart1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3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3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25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5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2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400"/>
    </c:view3D>
    <c:plotArea>
      <c:layout>
        <c:manualLayout>
          <c:layoutTarget val="inner"/>
          <c:xMode val="edge"/>
          <c:yMode val="edge"/>
          <c:x val="0.2"/>
          <c:y val="0.05"/>
          <c:w val="0.6"/>
          <c:h val="0.80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25400">
              <a:solidFill>
                <a:srgbClr val="FF0000"/>
              </a:solidFill>
            </a:ln>
          </c:spPr>
        </c:majorGridlines>
        <c:majorUnit val="20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254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