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charts/chart3.xml" ContentType="application/vnd.openxmlformats-officedocument.drawingml.chart+xml"/>
  <Override PartName="/word/charts/chart4.xml" ContentType="application/vnd.openxmlformats-officedocument.drawingml.chart+xml"/>
  <Override PartName="/word/charts/chart5.xml" ContentType="application/vnd.openxmlformats-officedocument.drawingml.chart+xml"/>
  <Override PartName="/word/charts/chart6.xml" ContentType="application/vnd.openxmlformats-officedocument.drawingml.chart+xml"/>
  <Override PartName="/word/charts/chart7.xml" ContentType="application/vnd.openxmlformats-officedocument.drawingml.chart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mc="http://schemas.openxmlformats.org/markup-compatibility/2006" xmlns:wps="http://schemas.microsoft.com/office/word/2010/wordprocessingShape" xmlns:v="urn:schemas-microsoft-com:vml" xmlns:o="urn:schemas-microsoft-com:office:office" xmlns:w10="urn:schemas-microsoft-com:office:word" xmlns:m="http://schemas.openxmlformats.org/officeDocument/2006/math">
  <w:body>
    <w:p>
      <w:pPr>
        <w:spacing w:before="0" w:after="0" w:line="240" w:lineRule="auto"/>
      </w:pPr>
      <w:r>
        <w:drawing>
          <wp:inline distT="0" distB="0" distL="0" distR="0">
            <wp:extent cx="4572000" cy="2743200"/>
            <wp:docPr id="591" name="Chart 591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"/>
              </a:graphicData>
            </a:graphic>
          </wp:inline>
        </w:drawing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592" name="Chart 592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2"/>
              </a:graphicData>
            </a:graphic>
          </wp:inline>
        </w:drawing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593" name="Chart 593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3"/>
              </a:graphicData>
            </a:graphic>
          </wp:inline>
        </w:drawing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594" name="Chart 594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4"/>
              </a:graphicData>
            </a:graphic>
          </wp:inline>
        </w:drawing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595" name="Chart 595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5"/>
              </a:graphicData>
            </a:graphic>
          </wp:inline>
        </w:drawing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596" name="Chart 596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6"/>
              </a:graphicData>
            </a:graphic>
          </wp:inline>
        </w:drawing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597" name="Chart 597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7"/>
              </a:graphicData>
            </a:graphic>
          </wp:inline>
        </w:drawing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Theme="minorHAnsi" w:hAnsiTheme="minorHAnsi"/>
        <w:sz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theme" Target="theme/theme1.xml"/>
  <Relationship Id="rIdChart" Type="http://schemas.openxmlformats.org/officeDocument/2006/relationships/chart" Target="charts/chart1.xml"/><Relationship Id="rIdChart2" Type="http://schemas.openxmlformats.org/officeDocument/2006/relationships/chart" Target="charts/chart2.xml"/><Relationship Id="rIdChart3" Type="http://schemas.openxmlformats.org/officeDocument/2006/relationships/chart" Target="charts/chart3.xml"/><Relationship Id="rIdChart4" Type="http://schemas.openxmlformats.org/officeDocument/2006/relationships/chart" Target="charts/chart4.xml"/><Relationship Id="rIdChart5" Type="http://schemas.openxmlformats.org/officeDocument/2006/relationships/chart" Target="charts/chart5.xml"/><Relationship Id="rIdChart6" Type="http://schemas.openxmlformats.org/officeDocument/2006/relationships/chart" Target="charts/chart6.xml"/><Relationship Id="rIdChart7" Type="http://schemas.openxmlformats.org/officeDocument/2006/relationships/chart" Target="charts/chart7.xml"/>
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title>
      <c:tx>
        <c:rich>
          <a:bodyPr/>
          <a:lstStyle/>
          <a:p>
            <a:pPr>
              <a:defRPr sz="1400" b="1"/>
            </a:pPr>
            <a:r>
              <a:rPr lang="en-GB" sz="1400" b="1"/>
              <a:t>Regional totals</a:t>
            </a:r>
          </a:p>
        </c:rich>
      </c:tx>
      <c:layout/>
      <c:overlay val="0"/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Units</c:v>
                </c:pt>
              </c:strCache>
            </c:strRef>
          </c:tx>
          <c:spPr>
            <a:solidFill>
              <a:srgbClr val="4472C4"/>
            </a:solidFill>
            <a:ln>
              <a:noFill/>
            </a:ln>
          </c:spPr>
          <c:cat>
            <c:strRef>
              <c:f>Sheet1!$A$2:$A$5</c:f>
              <c:strCache>
                <c:ptCount val="4"/>
                <c:pt idx="0">
                  <c:v>North</c:v>
                </c:pt>
                <c:pt idx="1">
                  <c:v>South</c:v>
                </c:pt>
                <c:pt idx="2">
                  <c:v>East</c:v>
                </c:pt>
                <c:pt idx="3">
                  <c:v>West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30</c:v>
                </c:pt>
                <c:pt idx="1">
                  <c:v>45</c:v>
                </c:pt>
                <c:pt idx="2">
                  <c:v>20</c:v>
                </c:pt>
                <c:pt idx="3">
                  <c:v>55</c:v>
                </c:pt>
              </c:numCache>
            </c:numRef>
          </c:val>
        </c:ser>
        <c:gapWidth val="150"/>
        <c:axId val="111111111"/>
        <c:axId val="222222222"/>
      </c:barChart>
      <c:catAx>
        <c:axId val="111111111"/>
        <c:scaling>
          <c:orientation val="minMax"/>
        </c:scaling>
        <c:delete val="0"/>
        <c:axPos val="b"/>
        <c:crossAx val="222222222"/>
        <c:crosses val="autoZero"/>
        <c:auto val="1"/>
        <c:lblAlgn val="ctr"/>
        <c:lblOffset val="100"/>
        <c:noMultiLvlLbl val="0"/>
      </c:catAx>
      <c:valAx>
        <c:axId val="222222222"/>
        <c:scaling>
          <c:orientation val="minMax"/>
          <c:max val="60"/>
          <c:min val="0"/>
        </c:scaling>
        <c:delete val="0"/>
        <c:axPos val="l"/>
        <c:majorGridlines/>
        <c:numFmt formatCode="General" sourceLinked="1"/>
        <c:majorTickMark val="none"/>
        <c:minorTickMark val="none"/>
        <c:tickLblPos val="nextTo"/>
        <c:crossAx val="111111111"/>
        <c:crosses val="autoZero"/>
        <c:crossBetween val="between"/>
        <c:majorUnit val="20"/>
      </c:valAx>
    </c:plotArea>
    <c:legend>
      <c:legendPos val="r"/>
      <c:layout/>
      <c:overlay val="0"/>
      <c:txPr>
        <a:bodyPr/>
        <a:lstStyle/>
        <a:p>
          <a:pPr>
            <a:defRPr sz="1000"/>
          </a:pPr>
          <a:endParaRPr lang="en-GB"/>
        </a:p>
      </c:txPr>
    </c:legend>
    <c:plotVisOnly val="1"/>
    <c:dispBlanksAs val="gap"/>
  </c:chart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title>
      <c:tx>
        <c:rich>
          <a:bodyPr/>
          <a:lstStyle/>
          <a:p>
            <a:pPr>
              <a:defRPr sz="1400" b="1"/>
            </a:pPr>
            <a:r>
              <a:rPr lang="en-GB" sz="1400" b="1"/>
              <a:t>Regional totals</a:t>
            </a:r>
          </a:p>
        </c:rich>
      </c:tx>
      <c:layout>
        <c:manualLayout>
          <c:xMode val="edge"/>
          <c:yMode val="edge"/>
          <c:x val="0.05"/>
          <c:y val="0.7"/>
        </c:manualLayout>
      </c:layout>
      <c:overlay val="0"/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Units</c:v>
                </c:pt>
              </c:strCache>
            </c:strRef>
          </c:tx>
          <c:spPr>
            <a:solidFill>
              <a:srgbClr val="4472C4"/>
            </a:solidFill>
            <a:ln>
              <a:noFill/>
            </a:ln>
          </c:spPr>
          <c:cat>
            <c:strRef>
              <c:f>Sheet1!$A$2:$A$5</c:f>
              <c:strCache>
                <c:ptCount val="4"/>
                <c:pt idx="0">
                  <c:v>North</c:v>
                </c:pt>
                <c:pt idx="1">
                  <c:v>South</c:v>
                </c:pt>
                <c:pt idx="2">
                  <c:v>East</c:v>
                </c:pt>
                <c:pt idx="3">
                  <c:v>West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30</c:v>
                </c:pt>
                <c:pt idx="1">
                  <c:v>45</c:v>
                </c:pt>
                <c:pt idx="2">
                  <c:v>20</c:v>
                </c:pt>
                <c:pt idx="3">
                  <c:v>55</c:v>
                </c:pt>
              </c:numCache>
            </c:numRef>
          </c:val>
        </c:ser>
        <c:gapWidth val="150"/>
        <c:axId val="111111111"/>
        <c:axId val="222222222"/>
      </c:barChart>
      <c:catAx>
        <c:axId val="111111111"/>
        <c:scaling>
          <c:orientation val="minMax"/>
        </c:scaling>
        <c:delete val="0"/>
        <c:axPos val="b"/>
        <c:crossAx val="222222222"/>
        <c:crosses val="autoZero"/>
        <c:auto val="1"/>
        <c:lblAlgn val="ctr"/>
        <c:lblOffset val="100"/>
        <c:noMultiLvlLbl val="0"/>
      </c:catAx>
      <c:valAx>
        <c:axId val="222222222"/>
        <c:scaling>
          <c:orientation val="minMax"/>
          <c:max val="60"/>
          <c:min val="0"/>
        </c:scaling>
        <c:delete val="0"/>
        <c:axPos val="l"/>
        <c:majorGridlines/>
        <c:numFmt formatCode="General" sourceLinked="1"/>
        <c:majorTickMark val="none"/>
        <c:minorTickMark val="none"/>
        <c:tickLblPos val="nextTo"/>
        <c:crossAx val="111111111"/>
        <c:crosses val="autoZero"/>
        <c:crossBetween val="between"/>
        <c:majorUnit val="20"/>
      </c:valAx>
    </c:plotArea>
    <c:legend>
      <c:legendPos val="r"/>
      <c:layout/>
      <c:overlay val="0"/>
      <c:txPr>
        <a:bodyPr/>
        <a:lstStyle/>
        <a:p>
          <a:pPr>
            <a:defRPr sz="1000"/>
          </a:pPr>
          <a:endParaRPr lang="en-GB"/>
        </a:p>
      </c:txPr>
    </c:legend>
    <c:plotVisOnly val="1"/>
    <c:dispBlanksAs val="gap"/>
  </c:chart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title>
      <c:tx>
        <c:rich>
          <a:bodyPr/>
          <a:lstStyle/>
          <a:p>
            <a:pPr>
              <a:defRPr sz="1400" b="1"/>
            </a:pPr>
            <a:r>
              <a:rPr lang="en-GB" sz="1400" b="1"/>
              <a:t>Regional totals</a:t>
            </a:r>
          </a:p>
        </c:rich>
      </c:tx>
      <c:layout/>
      <c:overlay val="0"/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Units</c:v>
                </c:pt>
              </c:strCache>
            </c:strRef>
          </c:tx>
          <c:spPr>
            <a:solidFill>
              <a:srgbClr val="4472C4"/>
            </a:solidFill>
            <a:ln>
              <a:noFill/>
            </a:ln>
          </c:spPr>
          <c:cat>
            <c:strRef>
              <c:f>Sheet1!$A$2:$A$5</c:f>
              <c:strCache>
                <c:ptCount val="4"/>
                <c:pt idx="0">
                  <c:v>North</c:v>
                </c:pt>
                <c:pt idx="1">
                  <c:v>South</c:v>
                </c:pt>
                <c:pt idx="2">
                  <c:v>East</c:v>
                </c:pt>
                <c:pt idx="3">
                  <c:v>West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30</c:v>
                </c:pt>
                <c:pt idx="1">
                  <c:v>45</c:v>
                </c:pt>
                <c:pt idx="2">
                  <c:v>20</c:v>
                </c:pt>
                <c:pt idx="3">
                  <c:v>55</c:v>
                </c:pt>
              </c:numCache>
            </c:numRef>
          </c:val>
        </c:ser>
        <c:gapWidth val="150"/>
        <c:axId val="111111111"/>
        <c:axId val="222222222"/>
      </c:barChart>
      <c:catAx>
        <c:axId val="111111111"/>
        <c:scaling>
          <c:orientation val="minMax"/>
        </c:scaling>
        <c:delete val="0"/>
        <c:axPos val="b"/>
        <c:crossAx val="222222222"/>
        <c:crosses val="autoZero"/>
        <c:auto val="1"/>
        <c:lblAlgn val="ctr"/>
        <c:lblOffset val="100"/>
        <c:noMultiLvlLbl val="0"/>
      </c:catAx>
      <c:valAx>
        <c:axId val="222222222"/>
        <c:scaling>
          <c:orientation val="minMax"/>
          <c:max val="60"/>
          <c:min val="0"/>
        </c:scaling>
        <c:delete val="0"/>
        <c:axPos val="l"/>
        <c:majorGridlines/>
        <c:numFmt formatCode="General" sourceLinked="1"/>
        <c:majorTickMark val="none"/>
        <c:minorTickMark val="none"/>
        <c:tickLblPos val="nextTo"/>
        <c:crossAx val="111111111"/>
        <c:crosses val="autoZero"/>
        <c:crossBetween val="between"/>
        <c:majorUnit val="20"/>
      </c:valAx>
    </c:plotArea>
    <c:legend>
      <c:legendPos val="r"/>
      <c:layout>
        <c:manualLayout>
          <c:xMode val="edge"/>
          <c:yMode val="edge"/>
          <c:x val="0.1"/>
          <c:y val="0.26"/>
        </c:manualLayout>
      </c:layout>
      <c:overlay val="0"/>
      <c:txPr>
        <a:bodyPr/>
        <a:lstStyle/>
        <a:p>
          <a:pPr>
            <a:defRPr sz="1000"/>
          </a:pPr>
          <a:endParaRPr lang="en-GB"/>
        </a:p>
      </c:txPr>
    </c:legend>
    <c:plotVisOnly val="1"/>
    <c:dispBlanksAs val="gap"/>
  </c:chart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title>
      <c:tx>
        <c:rich>
          <a:bodyPr/>
          <a:lstStyle/>
          <a:p>
            <a:pPr>
              <a:defRPr sz="1400" b="1"/>
            </a:pPr>
            <a:r>
              <a:rPr lang="en-GB" sz="1400" b="1"/>
              <a:t>Regional totals</a:t>
            </a:r>
          </a:p>
        </c:rich>
      </c:tx>
      <c:layout>
        <c:manualLayout>
          <c:xMode val="edge"/>
          <c:yMode val="edge"/>
          <c:x val="0.05"/>
          <c:y val="0.7"/>
        </c:manualLayout>
      </c:layout>
      <c:overlay val="0"/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Units</c:v>
                </c:pt>
              </c:strCache>
            </c:strRef>
          </c:tx>
          <c:spPr>
            <a:solidFill>
              <a:srgbClr val="4472C4"/>
            </a:solidFill>
            <a:ln>
              <a:noFill/>
            </a:ln>
          </c:spPr>
          <c:cat>
            <c:strRef>
              <c:f>Sheet1!$A$2:$A$5</c:f>
              <c:strCache>
                <c:ptCount val="4"/>
                <c:pt idx="0">
                  <c:v>North</c:v>
                </c:pt>
                <c:pt idx="1">
                  <c:v>South</c:v>
                </c:pt>
                <c:pt idx="2">
                  <c:v>East</c:v>
                </c:pt>
                <c:pt idx="3">
                  <c:v>West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30</c:v>
                </c:pt>
                <c:pt idx="1">
                  <c:v>45</c:v>
                </c:pt>
                <c:pt idx="2">
                  <c:v>20</c:v>
                </c:pt>
                <c:pt idx="3">
                  <c:v>55</c:v>
                </c:pt>
              </c:numCache>
            </c:numRef>
          </c:val>
        </c:ser>
        <c:gapWidth val="150"/>
        <c:axId val="111111111"/>
        <c:axId val="222222222"/>
      </c:barChart>
      <c:catAx>
        <c:axId val="111111111"/>
        <c:scaling>
          <c:orientation val="minMax"/>
        </c:scaling>
        <c:delete val="0"/>
        <c:axPos val="b"/>
        <c:crossAx val="222222222"/>
        <c:crosses val="autoZero"/>
        <c:auto val="1"/>
        <c:lblAlgn val="ctr"/>
        <c:lblOffset val="100"/>
        <c:noMultiLvlLbl val="0"/>
      </c:catAx>
      <c:valAx>
        <c:axId val="222222222"/>
        <c:scaling>
          <c:orientation val="minMax"/>
          <c:max val="60"/>
          <c:min val="0"/>
        </c:scaling>
        <c:delete val="0"/>
        <c:axPos val="l"/>
        <c:majorGridlines/>
        <c:numFmt formatCode="General" sourceLinked="1"/>
        <c:majorTickMark val="none"/>
        <c:minorTickMark val="none"/>
        <c:tickLblPos val="nextTo"/>
        <c:crossAx val="111111111"/>
        <c:crosses val="autoZero"/>
        <c:crossBetween val="between"/>
        <c:majorUnit val="20"/>
      </c:valAx>
    </c:plotArea>
    <c:legend>
      <c:legendPos val="r"/>
      <c:layout>
        <c:manualLayout>
          <c:xMode val="edge"/>
          <c:yMode val="edge"/>
          <c:x val="0.1"/>
          <c:y val="0.26"/>
        </c:manualLayout>
      </c:layout>
      <c:overlay val="0"/>
      <c:txPr>
        <a:bodyPr/>
        <a:lstStyle/>
        <a:p>
          <a:pPr>
            <a:defRPr sz="1000"/>
          </a:pPr>
          <a:endParaRPr lang="en-GB"/>
        </a:p>
      </c:txPr>
    </c:legend>
    <c:plotVisOnly val="1"/>
    <c:dispBlanksAs val="gap"/>
  </c:chart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title>
      <c:tx>
        <c:rich>
          <a:bodyPr/>
          <a:lstStyle/>
          <a:p>
            <a:pPr>
              <a:defRPr sz="1400" b="1"/>
            </a:pPr>
            <a:r>
              <a:rPr lang="en-GB" sz="1400" b="1"/>
              <a:t>Regional totals</a:t>
            </a:r>
          </a:p>
        </c:rich>
      </c:tx>
      <c:layout/>
      <c:overlay val="0"/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Units</c:v>
                </c:pt>
              </c:strCache>
            </c:strRef>
          </c:tx>
          <c:spPr>
            <a:solidFill>
              <a:srgbClr val="4472C4"/>
            </a:solidFill>
            <a:ln>
              <a:noFill/>
            </a:ln>
          </c:spPr>
          <c:cat>
            <c:strRef>
              <c:f>Sheet1!$A$2:$A$5</c:f>
              <c:strCache>
                <c:ptCount val="4"/>
                <c:pt idx="0">
                  <c:v>North</c:v>
                </c:pt>
                <c:pt idx="1">
                  <c:v>South</c:v>
                </c:pt>
                <c:pt idx="2">
                  <c:v>East</c:v>
                </c:pt>
                <c:pt idx="3">
                  <c:v>West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30</c:v>
                </c:pt>
                <c:pt idx="1">
                  <c:v>45</c:v>
                </c:pt>
                <c:pt idx="2">
                  <c:v>20</c:v>
                </c:pt>
                <c:pt idx="3">
                  <c:v>55</c:v>
                </c:pt>
              </c:numCache>
            </c:numRef>
          </c:val>
        </c:ser>
        <c:gapWidth val="150"/>
        <c:axId val="111111111"/>
        <c:axId val="222222222"/>
      </c:barChart>
      <c:catAx>
        <c:axId val="111111111"/>
        <c:scaling>
          <c:orientation val="minMax"/>
        </c:scaling>
        <c:delete val="0"/>
        <c:axPos val="b"/>
        <c:crossAx val="222222222"/>
        <c:crosses val="autoZero"/>
        <c:auto val="1"/>
        <c:lblAlgn val="ctr"/>
        <c:lblOffset val="100"/>
        <c:noMultiLvlLbl val="0"/>
      </c:catAx>
      <c:valAx>
        <c:axId val="222222222"/>
        <c:scaling>
          <c:orientation val="minMax"/>
          <c:max val="60"/>
          <c:min val="0"/>
        </c:scaling>
        <c:delete val="0"/>
        <c:axPos val="l"/>
        <c:majorGridlines/>
        <c:numFmt formatCode="General" sourceLinked="1"/>
        <c:majorTickMark val="none"/>
        <c:minorTickMark val="none"/>
        <c:tickLblPos val="nextTo"/>
        <c:crossAx val="111111111"/>
        <c:crosses val="autoZero"/>
        <c:crossBetween val="between"/>
        <c:majorUnit val="20"/>
      </c:valAx>
    </c:plotArea>
    <c:legend>
      <c:legendPos val="r"/>
      <c:layout>
        <c:manualLayout>
          <c:xMode val="edge"/>
          <c:yMode val="edge"/>
          <c:x val="0.1"/>
          <c:y val="0.26"/>
        </c:manualLayout>
      </c:layout>
      <c:overlay val="1"/>
      <c:txPr>
        <a:bodyPr/>
        <a:lstStyle/>
        <a:p>
          <a:pPr>
            <a:defRPr sz="1000"/>
          </a:pPr>
          <a:endParaRPr lang="en-GB"/>
        </a:p>
      </c:txPr>
    </c:legend>
    <c:plotVisOnly val="1"/>
    <c:dispBlanksAs val="gap"/>
  </c:chart>
</c:chartSpace>
</file>

<file path=word/charts/chart6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title>
      <c:tx>
        <c:rich>
          <a:bodyPr/>
          <a:lstStyle/>
          <a:p>
            <a:pPr>
              <a:defRPr sz="1400" b="1"/>
            </a:pPr>
            <a:r>
              <a:rPr lang="en-GB" sz="1400" b="1"/>
              <a:t>Regional totals</a:t>
            </a:r>
          </a:p>
        </c:rich>
      </c:tx>
      <c:layout>
        <c:manualLayout>
          <c:xMode val="edge"/>
          <c:yMode val="edge"/>
          <c:x val="0.5"/>
          <c:y val="0.1"/>
        </c:manualLayout>
      </c:layout>
      <c:overlay val="0"/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Units</c:v>
                </c:pt>
              </c:strCache>
            </c:strRef>
          </c:tx>
          <c:spPr>
            <a:solidFill>
              <a:srgbClr val="4472C4"/>
            </a:solidFill>
            <a:ln>
              <a:noFill/>
            </a:ln>
          </c:spPr>
          <c:cat>
            <c:strRef>
              <c:f>Sheet1!$A$2:$A$5</c:f>
              <c:strCache>
                <c:ptCount val="4"/>
                <c:pt idx="0">
                  <c:v>North</c:v>
                </c:pt>
                <c:pt idx="1">
                  <c:v>South</c:v>
                </c:pt>
                <c:pt idx="2">
                  <c:v>East</c:v>
                </c:pt>
                <c:pt idx="3">
                  <c:v>West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30</c:v>
                </c:pt>
                <c:pt idx="1">
                  <c:v>45</c:v>
                </c:pt>
                <c:pt idx="2">
                  <c:v>20</c:v>
                </c:pt>
                <c:pt idx="3">
                  <c:v>55</c:v>
                </c:pt>
              </c:numCache>
            </c:numRef>
          </c:val>
        </c:ser>
        <c:gapWidth val="150"/>
        <c:axId val="111111111"/>
        <c:axId val="222222222"/>
      </c:barChart>
      <c:catAx>
        <c:axId val="111111111"/>
        <c:scaling>
          <c:orientation val="minMax"/>
        </c:scaling>
        <c:delete val="0"/>
        <c:axPos val="b"/>
        <c:crossAx val="222222222"/>
        <c:crosses val="autoZero"/>
        <c:auto val="1"/>
        <c:lblAlgn val="ctr"/>
        <c:lblOffset val="100"/>
        <c:noMultiLvlLbl val="0"/>
      </c:catAx>
      <c:valAx>
        <c:axId val="222222222"/>
        <c:scaling>
          <c:orientation val="minMax"/>
          <c:max val="60"/>
          <c:min val="0"/>
        </c:scaling>
        <c:delete val="0"/>
        <c:axPos val="l"/>
        <c:majorGridlines/>
        <c:numFmt formatCode="General" sourceLinked="1"/>
        <c:majorTickMark val="none"/>
        <c:minorTickMark val="none"/>
        <c:tickLblPos val="nextTo"/>
        <c:crossAx val="111111111"/>
        <c:crosses val="autoZero"/>
        <c:crossBetween val="between"/>
        <c:majorUnit val="20"/>
      </c:valAx>
    </c:plotArea>
    <c:legend>
      <c:legendPos val="r"/>
      <c:layout/>
      <c:overlay val="0"/>
      <c:txPr>
        <a:bodyPr/>
        <a:lstStyle/>
        <a:p>
          <a:pPr>
            <a:defRPr sz="1000"/>
          </a:pPr>
          <a:endParaRPr lang="en-GB"/>
        </a:p>
      </c:txPr>
    </c:legend>
    <c:plotVisOnly val="1"/>
    <c:dispBlanksAs val="gap"/>
  </c:chart>
</c:chartSpace>
</file>

<file path=word/charts/chart7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title>
      <c:tx>
        <c:rich>
          <a:bodyPr/>
          <a:lstStyle/>
          <a:p>
            <a:pPr>
              <a:defRPr sz="1400" b="1"/>
            </a:pPr>
            <a:r>
              <a:rPr lang="en-GB" sz="1400" b="1"/>
              <a:t>Regional totals</a:t>
            </a:r>
          </a:p>
        </c:rich>
      </c:tx>
      <c:layout/>
      <c:overlay val="0"/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Units</c:v>
                </c:pt>
              </c:strCache>
            </c:strRef>
          </c:tx>
          <c:spPr>
            <a:solidFill>
              <a:srgbClr val="4472C4"/>
            </a:solidFill>
            <a:ln>
              <a:noFill/>
            </a:ln>
          </c:spPr>
          <c:cat>
            <c:strRef>
              <c:f>Sheet1!$A$2:$A$5</c:f>
              <c:strCache>
                <c:ptCount val="4"/>
                <c:pt idx="0">
                  <c:v>North</c:v>
                </c:pt>
                <c:pt idx="1">
                  <c:v>South</c:v>
                </c:pt>
                <c:pt idx="2">
                  <c:v>East</c:v>
                </c:pt>
                <c:pt idx="3">
                  <c:v>West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30</c:v>
                </c:pt>
                <c:pt idx="1">
                  <c:v>45</c:v>
                </c:pt>
                <c:pt idx="2">
                  <c:v>20</c:v>
                </c:pt>
                <c:pt idx="3">
                  <c:v>55</c:v>
                </c:pt>
              </c:numCache>
            </c:numRef>
          </c:val>
        </c:ser>
        <c:gapWidth val="150"/>
        <c:axId val="111111111"/>
        <c:axId val="222222222"/>
      </c:barChart>
      <c:catAx>
        <c:axId val="111111111"/>
        <c:scaling>
          <c:orientation val="minMax"/>
        </c:scaling>
        <c:delete val="0"/>
        <c:axPos val="b"/>
        <c:crossAx val="222222222"/>
        <c:crosses val="autoZero"/>
        <c:auto val="1"/>
        <c:lblAlgn val="ctr"/>
        <c:lblOffset val="100"/>
        <c:noMultiLvlLbl val="0"/>
      </c:catAx>
      <c:valAx>
        <c:axId val="222222222"/>
        <c:scaling>
          <c:orientation val="minMax"/>
          <c:max val="60"/>
          <c:min val="0"/>
        </c:scaling>
        <c:delete val="0"/>
        <c:axPos val="l"/>
        <c:majorGridlines/>
        <c:numFmt formatCode="General" sourceLinked="1"/>
        <c:majorTickMark val="none"/>
        <c:minorTickMark val="none"/>
        <c:tickLblPos val="nextTo"/>
        <c:crossAx val="111111111"/>
        <c:crosses val="autoZero"/>
        <c:crossBetween val="between"/>
        <c:majorUnit val="20"/>
      </c:valAx>
    </c:plotArea>
    <c:legend>
      <c:legendPos val="r"/>
      <c:layout>
        <c:manualLayout>
          <c:xMode val="edge"/>
          <c:yMode val="edge"/>
          <c:x val="0.6"/>
          <c:y val="0.5"/>
        </c:manualLayout>
      </c:layout>
      <c:overlay val="0"/>
      <c:txPr>
        <a:bodyPr/>
        <a:lstStyle/>
        <a:p>
          <a:pPr>
            <a:defRPr sz="1000"/>
          </a:pPr>
          <a:endParaRPr lang="en-GB"/>
        </a:p>
      </c:txPr>
    </c:legend>
    <c:plotVisOnly val="1"/>
    <c:dispBlanksAs val="gap"/>
  </c:chart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