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501" name="Chart 5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02" name="Chart 5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03" name="Chart 5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04" name="Chart 5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505" name="Chart 5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2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222222222"/>
        <c:crosses val="autoZero"/>
        <c:auto val="1"/>
        <c:lblAlgn val="ctr"/>
        <c:lblOffset val="2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000"/>
            </a:pPr>
            <a:endParaRPr lang="en-GB"/>
          </a:p>
        </c:txPr>
        <c:crossAx val="111111111"/>
        <c:crosses val="autoZero"/>
        <c:crossBetween val="between"/>
        <c:majorUnit val="50"/>
      </c:val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6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40</c:v>
                </c:pt>
                <c:pt idx="1">
                  <c:v>80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One</c:v>
                </c:pt>
                <c:pt idx="1">
                  <c:v>Two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30</c:v>
                </c:pt>
              </c:numCache>
            </c:numRef>
          </c:val>
        </c:ser>
        <c:gapWidth val="100"/>
        <c:overlap val="-27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10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5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