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 w:cs="Times New Roman"/>
          <w:sz w:val="24"/>
        </w:rPr>
        <w:t xml:space="preserve">Times New Roman, which has the Latin and the Hebrew: שלום</w:t>
      </w:r>
    </w:p>
    <w:p>
      <w:pPr>
        <w:spacing w:before="0" w:after="0" w:line="240" w:lineRule="auto"/>
      </w:pPr>
      <w:r>
        <w:rPr>
          <w:rFonts w:ascii="Arial Hebrew" w:hAnsi="Arial Hebrew" w:cs="Arial Hebrew"/>
          <w:sz w:val="24"/>
        </w:rPr>
        <w:t xml:space="preserve">Arial Hebrew, which has no Latin at all: שלום</w:t>
      </w:r>
    </w:p>
    <w:p>
      <w:pPr>
        <w:spacing w:before="0" w:after="0" w:line="240" w:lineRule="auto"/>
      </w:pPr>
      <w:r>
        <w:rPr>
          <w:rFonts w:ascii="Arial Hebrew" w:hAnsi="Arial Hebrew" w:cs="Arial Hebrew"/>
          <w:sz w:val="24"/>
        </w:rPr>
        <w:t xml:space="preserve">Numbers 8601 and punctuation, in a face with no Latin: שלום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