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Devanagari, Tamil and Bengali below.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नमस्ते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हिन्दी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क्षत्रिय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कर्म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मुंबई 400</w:t>
      </w:r>
    </w:p>
    <w:p>
      <w:pPr>
        <w:spacing w:before="0" w:after="0" w:line="240" w:lineRule="auto"/>
      </w:pPr>
      <w:r>
        <w:rPr>
          <w:rFonts w:ascii="Tamil Sangam MN" w:hAnsi="Tamil Sangam MN" w:cs="Tamil Sangam MN"/>
          <w:sz w:val="28"/>
          <w:szCs w:val="28"/>
        </w:rPr>
        <w:t xml:space="preserve">தமிழ்</w:t>
      </w:r>
    </w:p>
    <w:p>
      <w:pPr>
        <w:spacing w:before="0" w:after="0" w:line="240" w:lineRule="auto"/>
      </w:pPr>
      <w:r>
        <w:rPr>
          <w:rFonts w:ascii="Bangla Sangam MN" w:hAnsi="Bangla Sangam MN" w:cs="Bangla Sangam MN"/>
          <w:sz w:val="28"/>
          <w:szCs w:val="28"/>
        </w:rPr>
        <w:t xml:space="preserve">বাংলা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