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First column, first line.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First column, second line.</w:t>
      </w:r>
      <w:r>
        <w:rPr>
          <w:rFonts w:ascii="Times New Roman" w:hAnsi="Times New Roman"/>
          <w:sz w:val="24"/>
        </w:rPr>
        <w:br w:type="column"/>
      </w:r>
      <w:r>
        <w:rPr>
          <w:rFonts w:ascii="Times New Roman" w:hAnsi="Times New Roman"/>
          <w:sz w:val="24"/>
        </w:rPr>
        <w:t>Second column opens here.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column, another line.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br w:type="column"/>
      </w:r>
      <w:r>
        <w:rPr>
          <w:rFonts w:ascii="Times New Roman" w:hAnsi="Times New Roman"/>
          <w:sz w:val="24"/>
        </w:rPr>
        <w:t>Third column opens here.</w:t>
      </w:r>
    </w:p>
    <w:sectPr>
      <w:pgSz w:w="12240" w:h="15840"/>
      <w:pgMar w:top="1440" w:right="1440" w:bottom="1440" w:left="1440" w:header="720" w:footer="720" w:gutter="0"/>
      <w:cols w:num="3" w:space="720" w:equalWidth="0">
        <w:col w:w="2880" w:space="720"/>
        <w:col w:w="2160" w:space="720"/>
        <w:col w:w="2880"/>
      </w:cols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