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sentence with a note</w:t>
      </w:r>
      <w:r>
        <w:rPr>
          <w:rStyle w:val="EndnoteReference"/>
        </w:rPr>
        <w:endnoteReference w:id="2"/>
      </w:r>
      <w:r>
        <w:rPr>
          <w:rFonts w:ascii="Times New Roman" w:hAnsi="Times New Roman"/>
          <w:sz w:val="24"/>
        </w:rPr>
        <w:t xml:space="preserve"> and another</w:t>
      </w:r>
      <w:r>
        <w:rPr>
          <w:rStyle w:val="EndnoteReference"/>
        </w:rPr>
        <w:end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7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8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9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10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11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12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13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14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15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16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17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18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19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20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21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22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23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24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25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26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27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28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29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30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31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32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33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34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35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36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37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38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39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40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41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42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43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44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45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46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47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48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49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50 of fifty.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  <w:endnote w:id="1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The first note.</w:t>
      </w:r>
    </w:p>
  </w:endnote>
  <w:endnote w:id="2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The second note.</w:t>
      </w:r>
    </w:p>
  </w:endnote>
</w:end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Endnotes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