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table.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c>
          <w:p>
            <w:r>
              <w:rPr>
                <w:rFonts w:ascii="Times New Roman" w:hAnsi="Times New Roman"/>
                <w:b/>
                <w:sz w:val="24"/>
              </w:rPr>
              <w:t>Region</w:t>
            </w:r>
          </w:p>
        </w:tc>
        <w:tc>
          <w:p>
            <w:r>
              <w:rPr>
                <w:rFonts w:ascii="Times New Roman" w:hAnsi="Times New Roman"/>
                <w:b/>
                <w:sz w:val="24"/>
              </w:rPr>
              <w:t>Units</w:t>
            </w:r>
          </w:p>
        </w:tc>
        <w:tc>
          <w:p>
            <w:r>
              <w:rPr>
                <w:rFonts w:ascii="Times New Roman" w:hAnsi="Times New Roman"/>
                <w:b/>
                <w:sz w:val="24"/>
              </w:rPr>
              <w:t>Revenue</w:t>
            </w:r>
          </w:p>
        </w:tc>
      </w:tr>
      <w:tr>
        <w:tc>
          <w:p>
            <w:r>
              <w:rPr>
                <w:rFonts w:ascii="Times New Roman" w:hAnsi="Times New Roman"/>
                <w:sz w:val="24"/>
              </w:rPr>
              <w:t>North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1240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48200</w:t>
            </w:r>
          </w:p>
        </w:tc>
      </w:tr>
      <w:tr>
        <w:tc>
          <w:p>
            <w:r>
              <w:rPr>
                <w:rFonts w:ascii="Times New Roman" w:hAnsi="Times New Roman"/>
                <w:sz w:val="24"/>
              </w:rPr>
              <w:t>South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p>
            <w:r>
              <w:rPr>
                <w:rFonts w:ascii="Times New Roman" w:hAnsi="Times New Roman"/>
                <w:sz w:val="24"/>
              </w:rPr>
              <w:t>37110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table.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