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Faces with no OpenType tables at all.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Gujarati MT" w:hAnsi="Gujarati MT" w:cs="Gujarati MT"/>
          <w:sz w:val="28"/>
          <w:szCs w:val="28"/>
        </w:rPr>
        <w:t xml:space="preserve">સંસ્કૃત</w:t>
      </w:r>
    </w:p>
    <w:p>
      <w:pPr>
        <w:spacing w:before="0" w:after="0" w:line="240" w:lineRule="auto"/>
      </w:pPr>
      <w:r>
        <w:rPr>
          <w:rFonts w:ascii="Gurmukhi MT" w:hAnsi="Gurmukhi MT" w:cs="Gurmukhi MT"/>
          <w:sz w:val="28"/>
          <w:szCs w:val="28"/>
        </w:rPr>
        <w:t xml:space="preserve">ਪੰਜਾਬੀ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