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sentence with a note</w:t>
      </w:r>
      <w:r>
        <w:rPr>
          <w:rStyle w:val="EndnoteReference"/>
        </w:rPr>
        <w:endnoteReference w:id="2"/>
      </w:r>
      <w:r>
        <w:rPr>
          <w:rFonts w:ascii="Times New Roman" w:hAnsi="Times New Roman"/>
          <w:sz w:val="24"/>
        </w:rPr>
        <w:t xml:space="preserve"> and another</w:t>
      </w:r>
      <w:r>
        <w:rPr>
          <w:rStyle w:val="EndnoteReference"/>
        </w:rPr>
        <w:end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7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8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9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10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11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12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13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14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15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16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17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18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19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20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21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22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23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24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25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26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27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28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29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30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31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32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33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34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35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36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37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38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39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40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41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42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43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44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45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46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47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48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49 of fifty.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50 of fifty.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The first note.</w:t>
      </w:r>
    </w:p>
  </w:endnote>
  <w:endnote w:id="2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The second note.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Endnotes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