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charts/chart20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1370" name="Chart 137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30/20 h100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71" name="Chart 137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30/20 h150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72" name="Chart 137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40/45 h100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73" name="Chart 137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40/45 h150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74" name="Chart 137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30/20 2cat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75" name="Chart 137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40/45 2cat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76" name="Chart 137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spacing w:before="0" w:after="0" w:line="240" w:lineRule="auto"/>
      </w:pPr>
      <w:r>
        <w:t>60/15 d75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77" name="Chart 137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spacing w:before="0" w:after="0" w:line="240" w:lineRule="auto"/>
      </w:pPr>
      <w:r>
        <w:t>60/15 d150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78" name="Chart 137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9"/>
              </a:graphicData>
            </a:graphic>
          </wp:inline>
        </w:drawing>
      </w:r>
    </w:p>
    <w:p>
      <w:pPr>
        <w:spacing w:before="0" w:after="0" w:line="240" w:lineRule="auto"/>
      </w:pPr>
      <w:r>
        <w:t>10/70 d75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79" name="Chart 137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0"/>
              </a:graphicData>
            </a:graphic>
          </wp:inline>
        </w:drawing>
      </w:r>
    </w:p>
    <w:p>
      <w:pPr>
        <w:spacing w:before="0" w:after="0" w:line="240" w:lineRule="auto"/>
      </w:pPr>
      <w:r>
        <w:t>10/70 d150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80" name="Chart 138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1"/>
              </a:graphicData>
            </a:graphic>
          </wp:inline>
        </w:drawing>
      </w:r>
    </w:p>
    <w:p>
      <w:pPr>
        <w:spacing w:before="0" w:after="0" w:line="240" w:lineRule="auto"/>
      </w:pPr>
      <w:r>
        <w:t>15/35 d50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81" name="Chart 138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2"/>
              </a:graphicData>
            </a:graphic>
          </wp:inline>
        </w:drawing>
      </w:r>
    </w:p>
    <w:p>
      <w:pPr>
        <w:spacing w:before="0" w:after="0" w:line="240" w:lineRule="auto"/>
      </w:pPr>
      <w:r>
        <w:t>15/35 d200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82" name="Chart 138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3"/>
              </a:graphicData>
            </a:graphic>
          </wp:inline>
        </w:drawing>
      </w:r>
    </w:p>
    <w:p>
      <w:pPr>
        <w:spacing w:before="0" w:after="0" w:line="240" w:lineRule="auto"/>
      </w:pPr>
      <w:r>
        <w:t>15/65 d50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83" name="Chart 138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4"/>
              </a:graphicData>
            </a:graphic>
          </wp:inline>
        </w:drawing>
      </w:r>
    </w:p>
    <w:p>
      <w:pPr>
        <w:spacing w:before="0" w:after="0" w:line="240" w:lineRule="auto"/>
      </w:pPr>
      <w:r>
        <w:t>15/65 d200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84" name="Chart 138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5"/>
              </a:graphicData>
            </a:graphic>
          </wp:inline>
        </w:drawing>
      </w:r>
    </w:p>
    <w:p>
      <w:pPr>
        <w:spacing w:before="0" w:after="0" w:line="240" w:lineRule="auto"/>
      </w:pPr>
      <w:r>
        <w:t>25/30 h50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85" name="Chart 138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6"/>
              </a:graphicData>
            </a:graphic>
          </wp:inline>
        </w:drawing>
      </w:r>
    </w:p>
    <w:p>
      <w:pPr>
        <w:spacing w:before="0" w:after="0" w:line="240" w:lineRule="auto"/>
      </w:pPr>
      <w:r>
        <w:t>p100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86" name="Chart 138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7"/>
              </a:graphicData>
            </a:graphic>
          </wp:inline>
        </w:drawing>
      </w:r>
    </w:p>
    <w:p>
      <w:pPr>
        <w:spacing w:before="0" w:after="0" w:line="240" w:lineRule="auto"/>
      </w:pPr>
      <w:r>
        <w:t>p140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87" name="Chart 138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8"/>
              </a:graphicData>
            </a:graphic>
          </wp:inline>
        </w:drawing>
      </w:r>
    </w:p>
    <w:p>
      <w:pPr>
        <w:spacing w:before="0" w:after="0" w:line="240" w:lineRule="auto"/>
      </w:pPr>
      <w:r>
        <w:t>p180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88" name="Chart 138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9"/>
              </a:graphicData>
            </a:graphic>
          </wp:inline>
        </w:drawing>
      </w:r>
    </w:p>
    <w:p>
      <w:pPr>
        <w:spacing w:before="0" w:after="0" w:line="240" w:lineRule="auto"/>
      </w:pPr>
      <w:r>
        <w:t>held 37/23 d160 h90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89" name="Chart 138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0"/>
              </a:graphicData>
            </a:graphic>
          </wp:inline>
        </w:drawing>
      </w:r>
    </w:p>
    <w:p>
      <w:pPr>
        <w:spacing w:before="0" w:after="0" w:line="240" w:lineRule="auto"/>
      </w:pPr>
      <w:r>
        <w:t>held 12/48 d60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Relationship Id="rIdChart9" Type="http://schemas.openxmlformats.org/officeDocument/2006/relationships/chart" Target="charts/chart9.xml"/><Relationship Id="rIdChart10" Type="http://schemas.openxmlformats.org/officeDocument/2006/relationships/chart" Target="charts/chart10.xml"/><Relationship Id="rIdChart11" Type="http://schemas.openxmlformats.org/officeDocument/2006/relationships/chart" Target="charts/chart11.xml"/><Relationship Id="rIdChart12" Type="http://schemas.openxmlformats.org/officeDocument/2006/relationships/chart" Target="charts/chart12.xml"/><Relationship Id="rIdChart13" Type="http://schemas.openxmlformats.org/officeDocument/2006/relationships/chart" Target="charts/chart13.xml"/><Relationship Id="rIdChart14" Type="http://schemas.openxmlformats.org/officeDocument/2006/relationships/chart" Target="charts/chart14.xml"/><Relationship Id="rIdChart15" Type="http://schemas.openxmlformats.org/officeDocument/2006/relationships/chart" Target="charts/chart15.xml"/><Relationship Id="rIdChart16" Type="http://schemas.openxmlformats.org/officeDocument/2006/relationships/chart" Target="charts/chart16.xml"/><Relationship Id="rIdChart17" Type="http://schemas.openxmlformats.org/officeDocument/2006/relationships/chart" Target="charts/chart17.xml"/><Relationship Id="rIdChart18" Type="http://schemas.openxmlformats.org/officeDocument/2006/relationships/chart" Target="charts/chart18.xml"/><Relationship Id="rIdChart19" Type="http://schemas.openxmlformats.org/officeDocument/2006/relationships/chart" Target="charts/chart19.xml"/><Relationship Id="rIdChart20" Type="http://schemas.openxmlformats.org/officeDocument/2006/relationships/chart" Target="charts/chart20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20"/>
      <c:rAngAx val="0"/>
      <c:perspective val="30"/>
      <c:depthPercent val="100"/>
      <c: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20"/>
      <c:rAngAx val="0"/>
      <c:perspective val="30"/>
      <c:depthPercent val="100"/>
      <c:hPercent val="1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0"/>
      <c:rotY val="45"/>
      <c:rAngAx val="0"/>
      <c:perspective val="30"/>
      <c:depthPercent val="100"/>
      <c: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0"/>
      <c:rotY val="45"/>
      <c:rAngAx val="0"/>
      <c:perspective val="30"/>
      <c:depthPercent val="100"/>
      <c:hPercent val="1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C0</c:v>
                </c:pt>
                <c:pt idx="1">
                  <c:v>C1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0"/>
      <c:rotY val="45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C0</c:v>
                </c:pt>
                <c:pt idx="1">
                  <c:v>C1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60"/>
      <c:rotY val="15"/>
      <c:rAngAx val="0"/>
      <c:perspective val="30"/>
      <c:depthPercent val="75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60"/>
      <c:rotY val="15"/>
      <c:rAngAx val="0"/>
      <c:perspective val="30"/>
      <c:depthPercent val="1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0"/>
      <c:rotY val="70"/>
      <c:rAngAx val="0"/>
      <c:perspective val="30"/>
      <c:depthPercent val="75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0"/>
      <c:rotY val="70"/>
      <c:rAngAx val="0"/>
      <c:perspective val="30"/>
      <c:depthPercent val="1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35"/>
      <c:rAngAx val="0"/>
      <c:perspective val="30"/>
      <c:depthPercent val="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35"/>
      <c:rAngAx val="0"/>
      <c:perspective val="30"/>
      <c:depthPercent val="2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65"/>
      <c:rAngAx val="0"/>
      <c:perspective val="30"/>
      <c:depthPercent val="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65"/>
      <c:rAngAx val="0"/>
      <c:perspective val="30"/>
      <c:depthPercent val="2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30"/>
      <c:rAngAx val="0"/>
      <c:perspective val="30"/>
      <c:depthPercent val="100"/>
      <c:hPercent val="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10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14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18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7"/>
      <c:rotY val="23"/>
      <c:rAngAx val="0"/>
      <c:perspective val="30"/>
      <c:depthPercent val="160"/>
      <c:hPercent val="9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2"/>
      <c:rotY val="48"/>
      <c:rAngAx val="0"/>
      <c:perspective val="30"/>
      <c:depthPercent val="6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