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70 of seventy.</w:t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  <w:jc w:val="center"/>
    </w:pPr>
    <w:r>
      <w:rPr>
        <w:rFonts w:ascii="Times New Roman" w:hAnsi="Times New Roman"/>
        <w:sz w:val="24"/>
      </w:rPr>
      <w:t xml:space="preserve">Page </w:t>
    </w:r>
    <w:fldSimple w:instr=" PAGE ">
      <w:r>
        <w:rPr>
          <w:rFonts w:ascii="Times New Roman" w:hAnsi="Times New Roman"/>
          <w:sz w:val="24"/>
        </w:rPr>
        <w:t>1</w:t>
      </w:r>
    </w:fldSimple>
    <w:r>
      <w:rPr>
        <w:rFonts w:ascii="Times New Roman" w:hAnsi="Times New Roman"/>
        <w:sz w:val="24"/>
      </w:rPr>
      <w:t xml:space="preserve"> of </w:t>
    </w:r>
    <w:fldSimple w:instr=" NUMPAGES ">
      <w:r>
        <w:rPr>
          <w:rFonts w:ascii="Times New Roman" w:hAnsi="Times New Roman"/>
          <w:sz w:val="24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rPr>
        <w:rFonts w:ascii="Times New Roman" w:hAnsi="Times New Roman"/>
        <w:sz w:val="24"/>
      </w:rPr>
      <w:t>Quarterly Operations Review</w:t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