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661" name="Chart 66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62" name="Chart 66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63" name="Chart 66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64" name="Chart 66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65" name="Chart 66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048000" cy="2743200"/>
            <wp:docPr id="666" name="Chart 66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6096000" cy="2743200"/>
            <wp:docPr id="667" name="Chart 66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3810000" cy="2743200"/>
            <wp:docPr id="668" name="Chart 66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5334000" cy="2743200"/>
            <wp:docPr id="669" name="Chart 66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70" name="Chart 67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6"/>
          <c:y val="0.3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6"/>
          <c:y val="0.3"/>
          <c:w val="0.3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>
        <c:manualLayout>
          <c:xMode val="edge"/>
          <c:yMode val="edge"/>
          <c:x val="0.6"/>
          <c:y val="0.3"/>
          <c:w val="0.3"/>
          <c:h val="0.25"/>
        </c:manualLayout>
      </c:layout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abcdefghijklmnopqrstuvwxyz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zyxwvutsrqponmlkjihgfedcba</c:v>
                </c:pt>
              </c:strCache>
            </c:strRef>
          </c:tx>
          <c:spPr>
            <a:solidFill>
              <a:srgbClr val="ED7D31"/>
            </a:solidFill>
            <a:ln>
              <a:noFill/>
            </a:ln>
          </c:spP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25</c:v>
                </c:pt>
                <c:pt idx="1">
                  <c:v>40</c:v>
                </c:pt>
                <c:pt idx="2">
                  <c:v>15</c:v>
                </c:pt>
                <c:pt idx="3">
                  <c:v>50</c:v>
                </c:pt>
              </c:numCache>
            </c:numRef>
          </c:val>
        </c:ser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r"/>
      <c:layout/>
      <c:overlay val="0"/>
      <c:txPr>
        <a:bodyPr/>
        <a:lstStyle/>
        <a:p>
          <a:pPr>
            <a:defRPr sz="1000"/>
          </a:pPr>
          <a:endParaRPr lang="en-GB"/>
        </a:p>
      </c:txPr>
    </c:legend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