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561" name="Chart 5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62" name="Chart 5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63" name="Chart 5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64" name="Chart 5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65" name="Chart 56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66" name="Chart 56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67" name="Chart 56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linear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poly"/>
            <c:order val="2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movingAvg"/>
            <c:period val="2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linear"/>
            <c:forward val="2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exp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linear"/>
            <c:intercept val="0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>
              <a:solidFill>
                <a:srgbClr val="4472C4"/>
              </a:solidFill>
            </a:ln>
          </c:spPr>
          <c:marker>
            <c:symbol val="none"/>
          </c:marker>
          <c:trendline>
            <c:spPr>
              <a:ln w="19050">
                <a:solidFill>
                  <a:srgbClr val="C00000"/>
                </a:solidFill>
              </a:ln>
            </c:spPr>
            <c:trendlineType val="linear"/>
            <c:backward val="1"/>
            <c:dispRSqr val="0"/>
            <c:dispEq val="0"/>
          </c:trendline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8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