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671" name="Chart 67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72" name="Chart 67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73" name="Chart 67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74" name="Chart 67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75" name="Chart 67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76" name="Chart 67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77" name="Chart 67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78" name="Chart 67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79" name="Chart 67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80" name="Chart 68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81" name="Chart 68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82" name="Chart 68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2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<Relationship Id="rIdChart12" Type="http://schemas.openxmlformats.org/officeDocument/2006/relationships/chart" Target="charts/chart12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4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Aa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Middling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40</c:v>
                </c:pt>
                <c:pt idx="2">
                  <c:v>15</c:v>
                </c:pt>
                <c:pt idx="3">
                  <c:v>50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Longer name here</c:v>
                </c:pt>
              </c:strCache>
            </c:strRef>
          </c:tx>
          <c:spPr>
            <a:solidFill>
              <a:srgbClr val="A5A5A5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35</c:v>
                </c:pt>
                <c:pt idx="2">
                  <c:v>10</c:v>
                </c:pt>
                <c:pt idx="3">
                  <c:v>45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05"/>
          <c:y val="0.05"/>
          <c:w val="0.5"/>
          <c:h val="0.1"/>
        </c:manualLayout>
      </c:layout>
      <c:overlay val="1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4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Aa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Middling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40</c:v>
                </c:pt>
                <c:pt idx="2">
                  <c:v>15</c:v>
                </c:pt>
                <c:pt idx="3">
                  <c:v>50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Longer name here</c:v>
                </c:pt>
              </c:strCache>
            </c:strRef>
          </c:tx>
          <c:spPr>
            <a:solidFill>
              <a:srgbClr val="A5A5A5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35</c:v>
                </c:pt>
                <c:pt idx="2">
                  <c:v>10</c:v>
                </c:pt>
                <c:pt idx="3">
                  <c:v>45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05"/>
          <c:y val="0.05"/>
          <c:w val="0.5"/>
          <c:h val="0.25"/>
        </c:manualLayout>
      </c:layout>
      <c:overlay val="1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4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Aa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Middling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40</c:v>
                </c:pt>
                <c:pt idx="2">
                  <c:v>15</c:v>
                </c:pt>
                <c:pt idx="3">
                  <c:v>50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Longer name here</c:v>
                </c:pt>
              </c:strCache>
            </c:strRef>
          </c:tx>
          <c:spPr>
            <a:solidFill>
              <a:srgbClr val="A5A5A5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35</c:v>
                </c:pt>
                <c:pt idx="2">
                  <c:v>10</c:v>
                </c:pt>
                <c:pt idx="3">
                  <c:v>45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05"/>
          <c:y val="0.05"/>
          <c:w val="0.5"/>
          <c:h val="0.45"/>
        </c:manualLayout>
      </c:layout>
      <c:overlay val="1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4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Aa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Middling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40</c:v>
                </c:pt>
                <c:pt idx="2">
                  <c:v>15</c:v>
                </c:pt>
                <c:pt idx="3">
                  <c:v>50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Longer name here</c:v>
                </c:pt>
              </c:strCache>
            </c:strRef>
          </c:tx>
          <c:spPr>
            <a:solidFill>
              <a:srgbClr val="A5A5A5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35</c:v>
                </c:pt>
                <c:pt idx="2">
                  <c:v>10</c:v>
                </c:pt>
                <c:pt idx="3">
                  <c:v>45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05"/>
          <c:y val="0.05"/>
          <c:w val="0.5"/>
          <c:h val="0.8"/>
        </c:manualLayout>
      </c:layout>
      <c:overlay val="1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4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Aa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Middling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40</c:v>
                </c:pt>
                <c:pt idx="2">
                  <c:v>15</c:v>
                </c:pt>
                <c:pt idx="3">
                  <c:v>50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Longer name here</c:v>
                </c:pt>
              </c:strCache>
            </c:strRef>
          </c:tx>
          <c:spPr>
            <a:solidFill>
              <a:srgbClr val="A5A5A5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35</c:v>
                </c:pt>
                <c:pt idx="2">
                  <c:v>10</c:v>
                </c:pt>
                <c:pt idx="3">
                  <c:v>45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05"/>
          <c:y val="0.05"/>
          <c:w val="0.15"/>
          <c:h val="0.6"/>
        </c:manualLayout>
      </c:layout>
      <c:overlay val="1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4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Aa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Middling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40</c:v>
                </c:pt>
                <c:pt idx="2">
                  <c:v>15</c:v>
                </c:pt>
                <c:pt idx="3">
                  <c:v>50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Longer name here</c:v>
                </c:pt>
              </c:strCache>
            </c:strRef>
          </c:tx>
          <c:spPr>
            <a:solidFill>
              <a:srgbClr val="A5A5A5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35</c:v>
                </c:pt>
                <c:pt idx="2">
                  <c:v>10</c:v>
                </c:pt>
                <c:pt idx="3">
                  <c:v>45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05"/>
          <c:y val="0.05"/>
          <c:w val="0.3"/>
          <c:h val="0.6"/>
        </c:manualLayout>
      </c:layout>
      <c:overlay val="1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4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Aa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Middling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40</c:v>
                </c:pt>
                <c:pt idx="2">
                  <c:v>15</c:v>
                </c:pt>
                <c:pt idx="3">
                  <c:v>50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Longer name here</c:v>
                </c:pt>
              </c:strCache>
            </c:strRef>
          </c:tx>
          <c:spPr>
            <a:solidFill>
              <a:srgbClr val="A5A5A5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35</c:v>
                </c:pt>
                <c:pt idx="2">
                  <c:v>10</c:v>
                </c:pt>
                <c:pt idx="3">
                  <c:v>45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05"/>
          <c:y val="0.05"/>
          <c:w val="0.55"/>
          <c:h val="0.6"/>
        </c:manualLayout>
      </c:layout>
      <c:overlay val="1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4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Aa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Middling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40</c:v>
                </c:pt>
                <c:pt idx="2">
                  <c:v>15</c:v>
                </c:pt>
                <c:pt idx="3">
                  <c:v>50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Longer name here</c:v>
                </c:pt>
              </c:strCache>
            </c:strRef>
          </c:tx>
          <c:spPr>
            <a:solidFill>
              <a:srgbClr val="A5A5A5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35</c:v>
                </c:pt>
                <c:pt idx="2">
                  <c:v>10</c:v>
                </c:pt>
                <c:pt idx="3">
                  <c:v>45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05"/>
          <c:y val="0.05"/>
          <c:w val="0.85"/>
          <c:h val="0.6"/>
        </c:manualLayout>
      </c:layout>
      <c:overlay val="1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4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Aa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Middling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40</c:v>
                </c:pt>
                <c:pt idx="2">
                  <c:v>15</c:v>
                </c:pt>
                <c:pt idx="3">
                  <c:v>50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Longer name here</c:v>
                </c:pt>
              </c:strCache>
            </c:strRef>
          </c:tx>
          <c:spPr>
            <a:solidFill>
              <a:srgbClr val="A5A5A5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35</c:v>
                </c:pt>
                <c:pt idx="2">
                  <c:v>10</c:v>
                </c:pt>
                <c:pt idx="3">
                  <c:v>45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05"/>
          <c:y val="0.05"/>
          <c:w val="0.15"/>
          <c:h val="0.5"/>
        </c:manualLayout>
      </c:layout>
      <c:overlay val="1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4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Aa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Middling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40</c:v>
                </c:pt>
                <c:pt idx="2">
                  <c:v>15</c:v>
                </c:pt>
                <c:pt idx="3">
                  <c:v>50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Longer name here</c:v>
                </c:pt>
              </c:strCache>
            </c:strRef>
          </c:tx>
          <c:spPr>
            <a:solidFill>
              <a:srgbClr val="A5A5A5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35</c:v>
                </c:pt>
                <c:pt idx="2">
                  <c:v>10</c:v>
                </c:pt>
                <c:pt idx="3">
                  <c:v>45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05"/>
          <c:y val="0.05"/>
          <c:w val="0.15"/>
          <c:h val="0.4"/>
        </c:manualLayout>
      </c:layout>
      <c:overlay val="1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4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Aa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Middling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40</c:v>
                </c:pt>
                <c:pt idx="2">
                  <c:v>15</c:v>
                </c:pt>
                <c:pt idx="3">
                  <c:v>50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Longer name here</c:v>
                </c:pt>
              </c:strCache>
            </c:strRef>
          </c:tx>
          <c:spPr>
            <a:solidFill>
              <a:srgbClr val="A5A5A5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35</c:v>
                </c:pt>
                <c:pt idx="2">
                  <c:v>10</c:v>
                </c:pt>
                <c:pt idx="3">
                  <c:v>45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05"/>
          <c:y val="0.05"/>
          <c:w val="0.15"/>
          <c:h val="0.3"/>
        </c:manualLayout>
      </c:layout>
      <c:overlay val="1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2"/>
          <c:y val="0.1"/>
          <c:w val="0.45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Aa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Middling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40</c:v>
                </c:pt>
                <c:pt idx="2">
                  <c:v>15</c:v>
                </c:pt>
                <c:pt idx="3">
                  <c:v>50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Longer name here</c:v>
                </c:pt>
              </c:strCache>
            </c:strRef>
          </c:tx>
          <c:spPr>
            <a:solidFill>
              <a:srgbClr val="A5A5A5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35</c:v>
                </c:pt>
                <c:pt idx="2">
                  <c:v>10</c:v>
                </c:pt>
                <c:pt idx="3">
                  <c:v>45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05"/>
          <c:y val="0.05"/>
          <c:w val="0.15"/>
          <c:h val="0.17"/>
        </c:manualLayout>
      </c:layout>
      <c:overlay val="1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