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hart10.xml" ContentType="application/vnd.openxmlformats-officedocument.drawingml.chart+xml"/>
  <Override PartName="/word/charts/chart11.xml" ContentType="application/vnd.openxmlformats-officedocument.drawingml.chart+xml"/>
  <Override PartName="/word/charts/chart12.xml" ContentType="application/vnd.openxmlformats-officedocument.drawingml.chart+xml"/>
  <Override PartName="/word/charts/chart13.xml" ContentType="application/vnd.openxmlformats-officedocument.drawingml.chart+xml"/>
  <Override PartName="/word/charts/chart14.xml" ContentType="application/vnd.openxmlformats-officedocument.drawingml.chart+xml"/>
  <Override PartName="/word/charts/chart15.xml" ContentType="application/vnd.openxmlformats-officedocument.drawingml.chart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drawing>
          <wp:inline distT="0" distB="0" distL="0" distR="0">
            <wp:extent cx="4572000" cy="2743200"/>
            <wp:docPr id="1040" name="Chart 1040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"/>
              </a:graphicData>
            </a:graphic>
          </wp:inline>
        </w:drawing>
      </w:r>
    </w:p>
    <w:p>
      <w:pPr>
        <w:spacing w:before="0" w:after="0" w:line="240" w:lineRule="auto"/>
      </w:pPr>
      <w:r>
        <w:t>rotX 10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041" name="Chart 1041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2"/>
              </a:graphicData>
            </a:graphic>
          </wp:inline>
        </w:drawing>
      </w:r>
    </w:p>
    <w:p>
      <w:pPr>
        <w:spacing w:before="0" w:after="0" w:line="240" w:lineRule="auto"/>
      </w:pPr>
      <w:r>
        <w:t>rotX 15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042" name="Chart 1042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3"/>
              </a:graphicData>
            </a:graphic>
          </wp:inline>
        </w:drawing>
      </w:r>
    </w:p>
    <w:p>
      <w:pPr>
        <w:spacing w:before="0" w:after="0" w:line="240" w:lineRule="auto"/>
      </w:pPr>
      <w:r>
        <w:t>rotX 20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043" name="Chart 1043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4"/>
              </a:graphicData>
            </a:graphic>
          </wp:inline>
        </w:drawing>
      </w:r>
    </w:p>
    <w:p>
      <w:pPr>
        <w:spacing w:before="0" w:after="0" w:line="240" w:lineRule="auto"/>
      </w:pPr>
      <w:r>
        <w:t>rotX 25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044" name="Chart 1044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5"/>
              </a:graphicData>
            </a:graphic>
          </wp:inline>
        </w:drawing>
      </w:r>
    </w:p>
    <w:p>
      <w:pPr>
        <w:spacing w:before="0" w:after="0" w:line="240" w:lineRule="auto"/>
      </w:pPr>
      <w:r>
        <w:t>rotX 30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045" name="Chart 1045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6"/>
              </a:graphicData>
            </a:graphic>
          </wp:inline>
        </w:drawing>
      </w:r>
    </w:p>
    <w:p>
      <w:pPr>
        <w:spacing w:before="0" w:after="0" w:line="240" w:lineRule="auto"/>
      </w:pPr>
      <w:r>
        <w:t>rotX 35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046" name="Chart 1046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7"/>
              </a:graphicData>
            </a:graphic>
          </wp:inline>
        </w:drawing>
      </w:r>
    </w:p>
    <w:p>
      <w:pPr>
        <w:spacing w:before="0" w:after="0" w:line="240" w:lineRule="auto"/>
      </w:pPr>
      <w:r>
        <w:t>rotX 40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047" name="Chart 1047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8"/>
              </a:graphicData>
            </a:graphic>
          </wp:inline>
        </w:drawing>
      </w:r>
    </w:p>
    <w:p>
      <w:pPr>
        <w:spacing w:before="0" w:after="0" w:line="240" w:lineRule="auto"/>
      </w:pPr>
      <w:r>
        <w:t>rotX 25, depth 25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048" name="Chart 1048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9"/>
              </a:graphicData>
            </a:graphic>
          </wp:inline>
        </w:drawing>
      </w:r>
    </w:p>
    <w:p>
      <w:pPr>
        <w:spacing w:before="0" w:after="0" w:line="240" w:lineRule="auto"/>
      </w:pPr>
      <w:r>
        <w:t>rotX 25, depth 50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049" name="Chart 1049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0"/>
              </a:graphicData>
            </a:graphic>
          </wp:inline>
        </w:drawing>
      </w:r>
    </w:p>
    <w:p>
      <w:pPr>
        <w:spacing w:before="0" w:after="0" w:line="240" w:lineRule="auto"/>
      </w:pPr>
      <w:r>
        <w:t>rotX 25, depth 200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050" name="Chart 1050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1"/>
              </a:graphicData>
            </a:graphic>
          </wp:inline>
        </w:drawing>
      </w:r>
    </w:p>
    <w:p>
      <w:pPr>
        <w:spacing w:before="0" w:after="0" w:line="240" w:lineRule="auto"/>
      </w:pPr>
      <w:r>
        <w:t>rotX 25, depth 400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050" name="Chart 1050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2"/>
              </a:graphicData>
            </a:graphic>
          </wp:inline>
        </w:drawing>
      </w:r>
    </w:p>
    <w:p>
      <w:pPr>
        <w:spacing w:before="0" w:after="0" w:line="240" w:lineRule="auto"/>
      </w:pPr>
      <w:r>
        <w:t>rotX 25, depth 20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051" name="Chart 1051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3"/>
              </a:graphicData>
            </a:graphic>
          </wp:inline>
        </w:drawing>
      </w:r>
    </w:p>
    <w:p>
      <w:pPr>
        <w:spacing w:before="0" w:after="0" w:line="240" w:lineRule="auto"/>
      </w:pPr>
      <w:r>
        <w:t>rotX 25, depth 30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052" name="Chart 1052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4"/>
              </a:graphicData>
            </a:graphic>
          </wp:inline>
        </w:drawing>
      </w:r>
    </w:p>
    <w:p>
      <w:pPr>
        <w:spacing w:before="0" w:after="0" w:line="240" w:lineRule="auto"/>
      </w:pPr>
      <w:r>
        <w:t>rotX 25, depth 35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053" name="Chart 1053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5"/>
              </a:graphicData>
            </a:graphic>
          </wp:inline>
        </w:drawing>
      </w:r>
    </w:p>
    <w:p>
      <w:pPr>
        <w:spacing w:before="0" w:after="0" w:line="240" w:lineRule="auto"/>
      </w:pPr>
      <w:r>
        <w:t>rotX 25, depth 75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Chart" Type="http://schemas.openxmlformats.org/officeDocument/2006/relationships/chart" Target="charts/chart1.xml"/><Relationship Id="rIdChart2" Type="http://schemas.openxmlformats.org/officeDocument/2006/relationships/chart" Target="charts/chart2.xml"/><Relationship Id="rIdChart3" Type="http://schemas.openxmlformats.org/officeDocument/2006/relationships/chart" Target="charts/chart3.xml"/><Relationship Id="rIdChart4" Type="http://schemas.openxmlformats.org/officeDocument/2006/relationships/chart" Target="charts/chart4.xml"/><Relationship Id="rIdChart5" Type="http://schemas.openxmlformats.org/officeDocument/2006/relationships/chart" Target="charts/chart5.xml"/><Relationship Id="rIdChart6" Type="http://schemas.openxmlformats.org/officeDocument/2006/relationships/chart" Target="charts/chart6.xml"/><Relationship Id="rIdChart7" Type="http://schemas.openxmlformats.org/officeDocument/2006/relationships/chart" Target="charts/chart7.xml"/><Relationship Id="rIdChart8" Type="http://schemas.openxmlformats.org/officeDocument/2006/relationships/chart" Target="charts/chart8.xml"/><Relationship Id="rIdChart9" Type="http://schemas.openxmlformats.org/officeDocument/2006/relationships/chart" Target="charts/chart9.xml"/><Relationship Id="rIdChart10" Type="http://schemas.openxmlformats.org/officeDocument/2006/relationships/chart" Target="charts/chart10.xml"/><Relationship Id="rIdChart11" Type="http://schemas.openxmlformats.org/officeDocument/2006/relationships/chart" Target="charts/chart11.xml"/><Relationship Id="rIdChart12" Type="http://schemas.openxmlformats.org/officeDocument/2006/relationships/chart" Target="charts/chart12.xml"/><Relationship Id="rIdChart13" Type="http://schemas.openxmlformats.org/officeDocument/2006/relationships/chart" Target="charts/chart13.xml"/><Relationship Id="rIdChart14" Type="http://schemas.openxmlformats.org/officeDocument/2006/relationships/chart" Target="charts/chart14.xml"/><Relationship Id="rIdChart15" Type="http://schemas.openxmlformats.org/officeDocument/2006/relationships/chart" Target="charts/chart15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0"/>
      <c:rotY val="20"/>
      <c:rAngAx val="0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05"/>
          <c:w val="0.6"/>
          <c:h val="0.80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cat>
            <c:strRef>
              <c:f>Sheet1!$A$2</c:f>
              <c:strCache>
                <c:ptCount val="1"/>
                <c:pt idx="0">
                  <c:v>K</c:v>
                </c:pt>
              </c:strCache>
            </c:strRef>
          </c:cat>
          <c:val>
            <c:numRef>
              <c:f>Sheet1!$B$2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S1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Sheet1!$C$2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S2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Sheet1!$D$2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S3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Sheet1!$E$2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S4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Sheet1!$F$2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gapWidth val="500"/>
        <c:gapDepth val="50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majorGridlines>
          <c:spPr>
            <a:ln w="25400">
              <a:solidFill>
                <a:srgbClr val="FF0000"/>
              </a:solidFill>
            </a:ln>
          </c:spPr>
        </c:majorGridlines>
        <c:majorUnit val="20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majorGridlines>
          <c:spPr>
            <a:ln w="25400">
              <a:solidFill>
                <a:srgbClr val="0000FF"/>
              </a:solidFill>
            </a:ln>
          </c:spPr>
        </c:majorGridlines>
        <c:crossAx val="222222222"/>
      </c:serAx>
    </c:plotArea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0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05"/>
          <c:w val="0.6"/>
          <c:h val="0.80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cat>
            <c:strRef>
              <c:f>Sheet1!$A$2</c:f>
              <c:strCache>
                <c:ptCount val="1"/>
                <c:pt idx="0">
                  <c:v>K</c:v>
                </c:pt>
              </c:strCache>
            </c:strRef>
          </c:cat>
          <c:val>
            <c:numRef>
              <c:f>Sheet1!$B$2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S1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Sheet1!$C$2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S2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Sheet1!$D$2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S3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Sheet1!$E$2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S4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Sheet1!$F$2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gapWidth val="500"/>
        <c:gapDepth val="50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majorGridlines>
          <c:spPr>
            <a:ln w="25400">
              <a:solidFill>
                <a:srgbClr val="FF0000"/>
              </a:solidFill>
            </a:ln>
          </c:spPr>
        </c:majorGridlines>
        <c:majorUnit val="20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majorGridlines>
          <c:spPr>
            <a:ln w="25400">
              <a:solidFill>
                <a:srgbClr val="0000FF"/>
              </a:solidFill>
            </a:ln>
          </c:spPr>
        </c:majorGridlines>
        <c:crossAx val="222222222"/>
      </c:serAx>
    </c:plotArea>
    <c:plotVisOnly val="1"/>
  </c:chart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0"/>
      <c:rotY val="20"/>
      <c:rAngAx val="0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05"/>
          <c:w val="0.6"/>
          <c:h val="0.80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cat>
            <c:strRef>
              <c:f>Sheet1!$A$2</c:f>
              <c:strCache>
                <c:ptCount val="1"/>
                <c:pt idx="0">
                  <c:v>K</c:v>
                </c:pt>
              </c:strCache>
            </c:strRef>
          </c:cat>
          <c:val>
            <c:numRef>
              <c:f>Sheet1!$B$2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S1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Sheet1!$C$2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S2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Sheet1!$D$2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S3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Sheet1!$E$2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S4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Sheet1!$F$2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gapWidth val="500"/>
        <c:gapDepth val="50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majorGridlines>
          <c:spPr>
            <a:ln w="25400">
              <a:solidFill>
                <a:srgbClr val="FF0000"/>
              </a:solidFill>
            </a:ln>
          </c:spPr>
        </c:majorGridlines>
        <c:majorUnit val="20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majorGridlines>
          <c:spPr>
            <a:ln w="25400">
              <a:solidFill>
                <a:srgbClr val="0000FF"/>
              </a:solidFill>
            </a:ln>
          </c:spPr>
        </c:majorGridlines>
        <c:crossAx val="222222222"/>
      </c:serAx>
    </c:plotArea>
    <c:plotVisOnly val="1"/>
  </c:chart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05"/>
          <c:w val="0.6"/>
          <c:h val="0.80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cat>
            <c:strRef>
              <c:f>Sheet1!$A$2</c:f>
              <c:strCache>
                <c:ptCount val="1"/>
                <c:pt idx="0">
                  <c:v>K</c:v>
                </c:pt>
              </c:strCache>
            </c:strRef>
          </c:cat>
          <c:val>
            <c:numRef>
              <c:f>Sheet1!$B$2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S1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Sheet1!$C$2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S2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Sheet1!$D$2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S3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Sheet1!$E$2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S4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Sheet1!$F$2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gapWidth val="500"/>
        <c:gapDepth val="50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majorGridlines>
          <c:spPr>
            <a:ln w="25400">
              <a:solidFill>
                <a:srgbClr val="FF0000"/>
              </a:solidFill>
            </a:ln>
          </c:spPr>
        </c:majorGridlines>
        <c:majorUnit val="20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majorGridlines>
          <c:spPr>
            <a:ln w="25400">
              <a:solidFill>
                <a:srgbClr val="0000FF"/>
              </a:solidFill>
            </a:ln>
          </c:spPr>
        </c:majorGridlines>
        <c:crossAx val="222222222"/>
      </c:serAx>
    </c:plotArea>
    <c:plotVisOnly val="1"/>
  </c:chart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30"/>
      <c:rotY val="20"/>
      <c:rAngAx val="0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05"/>
          <c:w val="0.6"/>
          <c:h val="0.80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cat>
            <c:strRef>
              <c:f>Sheet1!$A$2</c:f>
              <c:strCache>
                <c:ptCount val="1"/>
                <c:pt idx="0">
                  <c:v>K</c:v>
                </c:pt>
              </c:strCache>
            </c:strRef>
          </c:cat>
          <c:val>
            <c:numRef>
              <c:f>Sheet1!$B$2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S1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Sheet1!$C$2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S2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Sheet1!$D$2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S3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Sheet1!$E$2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S4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Sheet1!$F$2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gapWidth val="500"/>
        <c:gapDepth val="50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majorGridlines>
          <c:spPr>
            <a:ln w="25400">
              <a:solidFill>
                <a:srgbClr val="FF0000"/>
              </a:solidFill>
            </a:ln>
          </c:spPr>
        </c:majorGridlines>
        <c:majorUnit val="20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majorGridlines>
          <c:spPr>
            <a:ln w="25400">
              <a:solidFill>
                <a:srgbClr val="0000FF"/>
              </a:solidFill>
            </a:ln>
          </c:spPr>
        </c:majorGridlines>
        <c:crossAx val="222222222"/>
      </c:serAx>
    </c:plotArea>
    <c:plotVisOnly val="1"/>
  </c:chart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35"/>
      <c:rotY val="20"/>
      <c:rAngAx val="0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05"/>
          <c:w val="0.6"/>
          <c:h val="0.80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cat>
            <c:strRef>
              <c:f>Sheet1!$A$2</c:f>
              <c:strCache>
                <c:ptCount val="1"/>
                <c:pt idx="0">
                  <c:v>K</c:v>
                </c:pt>
              </c:strCache>
            </c:strRef>
          </c:cat>
          <c:val>
            <c:numRef>
              <c:f>Sheet1!$B$2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S1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Sheet1!$C$2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S2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Sheet1!$D$2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S3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Sheet1!$E$2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S4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Sheet1!$F$2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gapWidth val="500"/>
        <c:gapDepth val="50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majorGridlines>
          <c:spPr>
            <a:ln w="25400">
              <a:solidFill>
                <a:srgbClr val="FF0000"/>
              </a:solidFill>
            </a:ln>
          </c:spPr>
        </c:majorGridlines>
        <c:majorUnit val="20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majorGridlines>
          <c:spPr>
            <a:ln w="25400">
              <a:solidFill>
                <a:srgbClr val="0000FF"/>
              </a:solidFill>
            </a:ln>
          </c:spPr>
        </c:majorGridlines>
        <c:crossAx val="222222222"/>
      </c:serAx>
    </c:plotArea>
    <c:plotVisOnly val="1"/>
  </c:chart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40"/>
      <c:rotY val="20"/>
      <c:rAngAx val="0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05"/>
          <c:w val="0.6"/>
          <c:h val="0.80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cat>
            <c:strRef>
              <c:f>Sheet1!$A$2</c:f>
              <c:strCache>
                <c:ptCount val="1"/>
                <c:pt idx="0">
                  <c:v>K</c:v>
                </c:pt>
              </c:strCache>
            </c:strRef>
          </c:cat>
          <c:val>
            <c:numRef>
              <c:f>Sheet1!$B$2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S1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Sheet1!$C$2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S2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Sheet1!$D$2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S3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Sheet1!$E$2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S4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Sheet1!$F$2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gapWidth val="500"/>
        <c:gapDepth val="50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majorGridlines>
          <c:spPr>
            <a:ln w="25400">
              <a:solidFill>
                <a:srgbClr val="FF0000"/>
              </a:solidFill>
            </a:ln>
          </c:spPr>
        </c:majorGridlines>
        <c:majorUnit val="20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majorGridlines>
          <c:spPr>
            <a:ln w="25400">
              <a:solidFill>
                <a:srgbClr val="0000FF"/>
              </a:solidFill>
            </a:ln>
          </c:spPr>
        </c:majorGridlines>
        <c:crossAx val="222222222"/>
      </c:serAx>
    </c:plotArea>
    <c:plotVisOnly val="1"/>
  </c:chart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30"/>
      <c:depthPercent val="25"/>
    </c:view3D>
    <c:plotArea>
      <c:layout>
        <c:manualLayout>
          <c:layoutTarget val="inner"/>
          <c:xMode val="edge"/>
          <c:yMode val="edge"/>
          <c:x val="0.2"/>
          <c:y val="0.05"/>
          <c:w val="0.6"/>
          <c:h val="0.80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cat>
            <c:strRef>
              <c:f>Sheet1!$A$2</c:f>
              <c:strCache>
                <c:ptCount val="1"/>
                <c:pt idx="0">
                  <c:v>K</c:v>
                </c:pt>
              </c:strCache>
            </c:strRef>
          </c:cat>
          <c:val>
            <c:numRef>
              <c:f>Sheet1!$B$2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S1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Sheet1!$C$2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S2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Sheet1!$D$2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S3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Sheet1!$E$2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S4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Sheet1!$F$2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gapWidth val="500"/>
        <c:gapDepth val="50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majorGridlines>
          <c:spPr>
            <a:ln w="25400">
              <a:solidFill>
                <a:srgbClr val="FF0000"/>
              </a:solidFill>
            </a:ln>
          </c:spPr>
        </c:majorGridlines>
        <c:majorUnit val="20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majorGridlines>
          <c:spPr>
            <a:ln w="25400">
              <a:solidFill>
                <a:srgbClr val="0000FF"/>
              </a:solidFill>
            </a:ln>
          </c:spPr>
        </c:majorGridlines>
        <c:crossAx val="222222222"/>
      </c:serAx>
    </c:plotArea>
    <c:plotVisOnly val="1"/>
  </c:chart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30"/>
      <c:depthPercent val="50"/>
    </c:view3D>
    <c:plotArea>
      <c:layout>
        <c:manualLayout>
          <c:layoutTarget val="inner"/>
          <c:xMode val="edge"/>
          <c:yMode val="edge"/>
          <c:x val="0.2"/>
          <c:y val="0.05"/>
          <c:w val="0.6"/>
          <c:h val="0.80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cat>
            <c:strRef>
              <c:f>Sheet1!$A$2</c:f>
              <c:strCache>
                <c:ptCount val="1"/>
                <c:pt idx="0">
                  <c:v>K</c:v>
                </c:pt>
              </c:strCache>
            </c:strRef>
          </c:cat>
          <c:val>
            <c:numRef>
              <c:f>Sheet1!$B$2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S1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Sheet1!$C$2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S2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Sheet1!$D$2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S3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Sheet1!$E$2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S4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Sheet1!$F$2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gapWidth val="500"/>
        <c:gapDepth val="50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majorGridlines>
          <c:spPr>
            <a:ln w="25400">
              <a:solidFill>
                <a:srgbClr val="FF0000"/>
              </a:solidFill>
            </a:ln>
          </c:spPr>
        </c:majorGridlines>
        <c:majorUnit val="20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majorGridlines>
          <c:spPr>
            <a:ln w="25400">
              <a:solidFill>
                <a:srgbClr val="0000FF"/>
              </a:solidFill>
            </a:ln>
          </c:spPr>
        </c:majorGridlines>
        <c:crossAx val="222222222"/>
      </c:serAx>
    </c:plotArea>
    <c:plotVisOnly val="1"/>
  </c:chart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30"/>
      <c:depthPercent val="200"/>
    </c:view3D>
    <c:plotArea>
      <c:layout>
        <c:manualLayout>
          <c:layoutTarget val="inner"/>
          <c:xMode val="edge"/>
          <c:yMode val="edge"/>
          <c:x val="0.2"/>
          <c:y val="0.05"/>
          <c:w val="0.6"/>
          <c:h val="0.80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cat>
            <c:strRef>
              <c:f>Sheet1!$A$2</c:f>
              <c:strCache>
                <c:ptCount val="1"/>
                <c:pt idx="0">
                  <c:v>K</c:v>
                </c:pt>
              </c:strCache>
            </c:strRef>
          </c:cat>
          <c:val>
            <c:numRef>
              <c:f>Sheet1!$B$2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S1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Sheet1!$C$2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S2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Sheet1!$D$2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S3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Sheet1!$E$2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S4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Sheet1!$F$2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gapWidth val="500"/>
        <c:gapDepth val="50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majorGridlines>
          <c:spPr>
            <a:ln w="25400">
              <a:solidFill>
                <a:srgbClr val="FF0000"/>
              </a:solidFill>
            </a:ln>
          </c:spPr>
        </c:majorGridlines>
        <c:majorUnit val="20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majorGridlines>
          <c:spPr>
            <a:ln w="25400">
              <a:solidFill>
                <a:srgbClr val="0000FF"/>
              </a:solidFill>
            </a:ln>
          </c:spPr>
        </c:majorGridlines>
        <c:crossAx val="222222222"/>
      </c:serAx>
    </c:plotArea>
    <c:plotVisOnly val="1"/>
  </c:chart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30"/>
      <c:depthPercent val="400"/>
    </c:view3D>
    <c:plotArea>
      <c:layout>
        <c:manualLayout>
          <c:layoutTarget val="inner"/>
          <c:xMode val="edge"/>
          <c:yMode val="edge"/>
          <c:x val="0.2"/>
          <c:y val="0.05"/>
          <c:w val="0.6"/>
          <c:h val="0.80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cat>
            <c:strRef>
              <c:f>Sheet1!$A$2</c:f>
              <c:strCache>
                <c:ptCount val="1"/>
                <c:pt idx="0">
                  <c:v>K</c:v>
                </c:pt>
              </c:strCache>
            </c:strRef>
          </c:cat>
          <c:val>
            <c:numRef>
              <c:f>Sheet1!$B$2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S1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Sheet1!$C$2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S2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Sheet1!$D$2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S3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Sheet1!$E$2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S4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Sheet1!$F$2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gapWidth val="500"/>
        <c:gapDepth val="50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majorGridlines>
          <c:spPr>
            <a:ln w="25400">
              <a:solidFill>
                <a:srgbClr val="FF0000"/>
              </a:solidFill>
            </a:ln>
          </c:spPr>
        </c:majorGridlines>
        <c:majorUnit val="20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majorGridlines>
          <c:spPr>
            <a:ln w="25400">
              <a:solidFill>
                <a:srgbClr val="0000FF"/>
              </a:solidFill>
            </a:ln>
          </c:spPr>
        </c:majorGridlines>
        <c:crossAx val="222222222"/>
      </c:serAx>
    </c:plotArea>
    <c:plotVisOnly val="1"/>
  </c:chart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30"/>
      <c:depthPercent val="20"/>
    </c:view3D>
    <c:plotArea>
      <c:layout>
        <c:manualLayout>
          <c:layoutTarget val="inner"/>
          <c:xMode val="edge"/>
          <c:yMode val="edge"/>
          <c:x val="0.2"/>
          <c:y val="0.05"/>
          <c:w val="0.6"/>
          <c:h val="0.80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cat>
            <c:strRef>
              <c:f>Sheet1!$A$2</c:f>
              <c:strCache>
                <c:ptCount val="1"/>
                <c:pt idx="0">
                  <c:v>K</c:v>
                </c:pt>
              </c:strCache>
            </c:strRef>
          </c:cat>
          <c:val>
            <c:numRef>
              <c:f>Sheet1!$B$2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S1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Sheet1!$C$2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S2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Sheet1!$D$2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S3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Sheet1!$E$2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S4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Sheet1!$F$2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gapWidth val="500"/>
        <c:gapDepth val="50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majorGridlines>
          <c:spPr>
            <a:ln w="25400">
              <a:solidFill>
                <a:srgbClr val="FF0000"/>
              </a:solidFill>
            </a:ln>
          </c:spPr>
        </c:majorGridlines>
        <c:majorUnit val="20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majorGridlines>
          <c:spPr>
            <a:ln w="25400">
              <a:solidFill>
                <a:srgbClr val="0000FF"/>
              </a:solidFill>
            </a:ln>
          </c:spPr>
        </c:majorGridlines>
        <c:crossAx val="222222222"/>
      </c:serAx>
    </c:plotArea>
    <c:plotVisOnly val="1"/>
  </c:chart>
</c:chartSpace>
</file>

<file path=word/charts/chart1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30"/>
      <c:depthPercent val="30"/>
    </c:view3D>
    <c:plotArea>
      <c:layout>
        <c:manualLayout>
          <c:layoutTarget val="inner"/>
          <c:xMode val="edge"/>
          <c:yMode val="edge"/>
          <c:x val="0.2"/>
          <c:y val="0.05"/>
          <c:w val="0.6"/>
          <c:h val="0.80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cat>
            <c:strRef>
              <c:f>Sheet1!$A$2</c:f>
              <c:strCache>
                <c:ptCount val="1"/>
                <c:pt idx="0">
                  <c:v>K</c:v>
                </c:pt>
              </c:strCache>
            </c:strRef>
          </c:cat>
          <c:val>
            <c:numRef>
              <c:f>Sheet1!$B$2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S1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Sheet1!$C$2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S2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Sheet1!$D$2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S3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Sheet1!$E$2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S4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Sheet1!$F$2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gapWidth val="500"/>
        <c:gapDepth val="50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majorGridlines>
          <c:spPr>
            <a:ln w="25400">
              <a:solidFill>
                <a:srgbClr val="FF0000"/>
              </a:solidFill>
            </a:ln>
          </c:spPr>
        </c:majorGridlines>
        <c:majorUnit val="20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majorGridlines>
          <c:spPr>
            <a:ln w="25400">
              <a:solidFill>
                <a:srgbClr val="0000FF"/>
              </a:solidFill>
            </a:ln>
          </c:spPr>
        </c:majorGridlines>
        <c:crossAx val="222222222"/>
      </c:serAx>
    </c:plotArea>
    <c:plotVisOnly val="1"/>
  </c:chart>
</c:chartSpace>
</file>

<file path=word/charts/chart1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30"/>
      <c:depthPercent val="35"/>
    </c:view3D>
    <c:plotArea>
      <c:layout>
        <c:manualLayout>
          <c:layoutTarget val="inner"/>
          <c:xMode val="edge"/>
          <c:yMode val="edge"/>
          <c:x val="0.2"/>
          <c:y val="0.05"/>
          <c:w val="0.6"/>
          <c:h val="0.80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cat>
            <c:strRef>
              <c:f>Sheet1!$A$2</c:f>
              <c:strCache>
                <c:ptCount val="1"/>
                <c:pt idx="0">
                  <c:v>K</c:v>
                </c:pt>
              </c:strCache>
            </c:strRef>
          </c:cat>
          <c:val>
            <c:numRef>
              <c:f>Sheet1!$B$2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S1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Sheet1!$C$2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S2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Sheet1!$D$2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S3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Sheet1!$E$2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S4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Sheet1!$F$2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gapWidth val="500"/>
        <c:gapDepth val="50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majorGridlines>
          <c:spPr>
            <a:ln w="25400">
              <a:solidFill>
                <a:srgbClr val="FF0000"/>
              </a:solidFill>
            </a:ln>
          </c:spPr>
        </c:majorGridlines>
        <c:majorUnit val="20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majorGridlines>
          <c:spPr>
            <a:ln w="25400">
              <a:solidFill>
                <a:srgbClr val="0000FF"/>
              </a:solidFill>
            </a:ln>
          </c:spPr>
        </c:majorGridlines>
        <c:crossAx val="222222222"/>
      </c:serAx>
    </c:plotArea>
    <c:plotVisOnly val="1"/>
  </c:chart>
</c:chartSpace>
</file>

<file path=word/charts/chart1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30"/>
      <c:depthPercent val="75"/>
    </c:view3D>
    <c:plotArea>
      <c:layout>
        <c:manualLayout>
          <c:layoutTarget val="inner"/>
          <c:xMode val="edge"/>
          <c:yMode val="edge"/>
          <c:x val="0.2"/>
          <c:y val="0.05"/>
          <c:w val="0.6"/>
          <c:h val="0.80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cat>
            <c:strRef>
              <c:f>Sheet1!$A$2</c:f>
              <c:strCache>
                <c:ptCount val="1"/>
                <c:pt idx="0">
                  <c:v>K</c:v>
                </c:pt>
              </c:strCache>
            </c:strRef>
          </c:cat>
          <c:val>
            <c:numRef>
              <c:f>Sheet1!$B$2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S1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Sheet1!$C$2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S2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Sheet1!$D$2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S3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Sheet1!$E$2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S4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Sheet1!$F$2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gapWidth val="500"/>
        <c:gapDepth val="50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majorGridlines>
          <c:spPr>
            <a:ln w="25400">
              <a:solidFill>
                <a:srgbClr val="FF0000"/>
              </a:solidFill>
            </a:ln>
          </c:spPr>
        </c:majorGridlines>
        <c:majorUnit val="20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majorGridlines>
          <c:spPr>
            <a:ln w="25400">
              <a:solidFill>
                <a:srgbClr val="0000FF"/>
              </a:solidFill>
            </a:ln>
          </c:spPr>
        </c:majorGridlines>
        <c:crossAx val="222222222"/>
      </c:serAx>
    </c:plotArea>
    <c:plotVisOnly val="1"/>
  </c:chart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