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641" name="Chart 64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42" name="Chart 64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43" name="Chart 64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44" name="Chart 64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45" name="Chart 64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46" name="Chart 64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47" name="Chart 64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48" name="Chart 64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49" name="Chart 64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abcdefghijklmnopqrstuvwxyz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1"/>
          <c:y val="0.05"/>
          <c:w val="0.1"/>
          <c:h val="0.25"/>
        </c:manualLayout>
      </c:layout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abcdefghijklmnopqrstuvwxyz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1"/>
          <c:y val="0.05"/>
          <c:w val="0.14"/>
          <c:h val="0.25"/>
        </c:manualLayout>
      </c:layout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abcdefghijklmnopqrstuvwxyz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1"/>
          <c:y val="0.05"/>
          <c:w val="0.18"/>
          <c:h val="0.25"/>
        </c:manualLayout>
      </c:layout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abcdefghijklmnopqrstuvwxyz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1"/>
          <c:y val="0.05"/>
          <c:w val="0.22"/>
          <c:h val="0.25"/>
        </c:manualLayout>
      </c:layout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abcdefghijklmnopqrstuvwxyz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1"/>
          <c:y val="0.05"/>
          <c:w val="0.26"/>
          <c:h val="0.25"/>
        </c:manualLayout>
      </c:layout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abcdefghijklmnopqrstuvwxyz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1"/>
          <c:y val="0.05"/>
          <c:w val="0.3"/>
          <c:h val="0.25"/>
        </c:manualLayout>
      </c:layout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abcdefghijklmnopqrstuvwxyz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1"/>
          <c:y val="0.05"/>
          <c:w val="0.45"/>
          <c:h val="0.25"/>
        </c:manualLayout>
      </c:layout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abcdefghijklmnopqrstuvwxyz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1"/>
          <c:y val="0.05"/>
          <c:w val="0.75"/>
          <c:h val="0.25"/>
        </c:manualLayout>
      </c:layout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alpha beta gamma delta epsilon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1"/>
          <c:y val="0.05"/>
          <c:w val="0.18"/>
          <c:h val="0.25"/>
        </c:manualLayout>
      </c:layout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