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  <w:ind w:left="0" w:right="5040"/>
      </w:pPr>
      <w:r>
        <w:rPr>
          <w:rFonts w:ascii="Times New Roman" w:hAnsi="Times New Roman"/>
          <w:sz w:val="24"/>
        </w:rPr>
        <w:t xml:space="preserve">Hyphenation is the business of breaking a word between two lines when the remainder would otherwise be unreasonably conspicuous, and typographers have argued about it interminably. Consider representative examples: communication, extraordinary, misunderstanding, particularly, responsibility, understanding, international, development, organisation.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autoHyphenation w:val="true"/>
  <w:consecutiveHyphenLimit w:val="2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Settings" Type="http://schemas.openxmlformats.org/officeDocument/2006/relationships/settings" Target="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