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more1.xml" ContentType="application/vnd.openxmlformats-officedocument.drawingml.chart+xml"/>
  <Override PartName="/word/charts/more2.xml" ContentType="application/vnd.openxmlformats-officedocument.drawingml.chart+xml"/>
  <Override PartName="/word/charts/more3.xml" ContentType="application/vnd.openxmlformats-officedocument.drawingml.chart+xml"/>
  <Override PartName="/word/charts/more4.xml" ContentType="application/vnd.openxmlformats-officedocument.drawingml.chart+xml"/>
  <Override PartName="/word/charts/more5.xml" ContentType="application/vnd.openxmlformats-officedocument.drawingml.chart+xml"/>
  <Override PartName="/word/charts/more6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6096000" cy="3657600"/>
            <wp:docPr id="1300" name="Chart 130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6096000" cy="3657600"/>
            <wp:docPr id="1301" name="Chart 13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More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3657600"/>
            <wp:docPr id="1302" name="Chart 13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More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5943600" cy="5486400"/>
            <wp:docPr id="1303" name="Chart 13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More4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04" name="Chart 13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More5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05" name="Chart 13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More6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306" name="Chart 130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More7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More2" Type="http://schemas.openxmlformats.org/officeDocument/2006/relationships/chart" Target="charts/more1.xml"/><Relationship Id="rIdMore3" Type="http://schemas.openxmlformats.org/officeDocument/2006/relationships/chart" Target="charts/more2.xml"/><Relationship Id="rIdMore4" Type="http://schemas.openxmlformats.org/officeDocument/2006/relationships/chart" Target="charts/more3.xml"/><Relationship Id="rIdMore5" Type="http://schemas.openxmlformats.org/officeDocument/2006/relationships/chart" Target="charts/more4.xml"/><Relationship Id="rIdMore6" Type="http://schemas.openxmlformats.org/officeDocument/2006/relationships/chart" Target="charts/more5.xml"/><Relationship Id="rIdMore7" Type="http://schemas.openxmlformats.org/officeDocument/2006/relationships/chart" Target="charts/more6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invertIfNegative val="0"/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bubbleSize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</c:numCache>
            </c:numRef>
          </c:bubbleSize>
          <c:bubble3D val="0"/>
        </c:ser>
        <c:bubbleScale val="25"/>
        <c:showNegBubbles val="0"/>
        <c:sizeRepresents val="area"/>
        <c:axId val="111111111"/>
        <c:axId val="222222222"/>
      </c:bubble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more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invertIfNegative val="0"/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bubbleSize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</c:numCache>
            </c:numRef>
          </c:bubbleSize>
          <c:bubble3D val="0"/>
        </c:ser>
        <c:bubbleScale val="300"/>
        <c:showNegBubbles val="0"/>
        <c:sizeRepresents val="area"/>
        <c:axId val="111111111"/>
        <c:axId val="222222222"/>
      </c:bubble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more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invertIfNegative val="0"/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bubbleSize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</c:numCache>
            </c:numRef>
          </c:bubbleSize>
          <c:bubble3D val="0"/>
        </c:ser>
        <c:bubbleScale val="100"/>
        <c:showNegBubbles val="0"/>
        <c:sizeRepresents val="area"/>
        <c:axId val="111111111"/>
        <c:axId val="222222222"/>
      </c:bubble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more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invertIfNegative val="0"/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bubbleSize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</c:numCache>
            </c:numRef>
          </c:bubbleSize>
          <c:bubble3D val="0"/>
        </c:ser>
        <c:bubbleScale val="100"/>
        <c:showNegBubbles val="0"/>
        <c:sizeRepresents val="area"/>
        <c:axId val="111111111"/>
        <c:axId val="222222222"/>
      </c:bubble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more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dPt>
            <c:idx val="0"/>
            <c:bubble3D val="0"/>
            <c:spPr>
              <a:solidFill>
                <a:srgbClr val="4472C4"/>
              </a:solidFill>
              <a:ln w="19050">
                <a:solidFill>
                  <a:srgbClr val="FFFFFF"/>
                </a:solidFill>
              </a:ln>
            </c:spPr>
          </c:dPt>
          <c:dPt>
            <c:idx val="1"/>
            <c:bubble3D val="0"/>
            <c:spPr>
              <a:solidFill>
                <a:srgbClr val="ED7D31"/>
              </a:solidFill>
              <a:ln w="19050">
                <a:solidFill>
                  <a:srgbClr val="FFFFFF"/>
                </a:solidFill>
              </a:ln>
            </c:spPr>
          </c:dPt>
          <c:dPt>
            <c:idx val="2"/>
            <c:bubble3D val="0"/>
            <c:spPr>
              <a:solidFill>
                <a:srgbClr val="A5A5A5"/>
              </a:solidFill>
              <a:ln w="19050">
                <a:solidFill>
                  <a:srgbClr val="FFFFFF"/>
                </a:solidFill>
              </a:ln>
            </c:spPr>
          </c:dPt>
          <c:dPt>
            <c:idx val="3"/>
            <c:bubble3D val="0"/>
            <c:spPr>
              <a:solidFill>
                <a:srgbClr val="FFC000"/>
              </a:solidFill>
              <a:ln w="19050">
                <a:solidFill>
                  <a:srgbClr val="FFFFFF"/>
                </a:solidFill>
              </a:ln>
            </c:spPr>
          </c:dPt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dLbls>
          <c:txPr>
            <a:bodyPr/>
            <a:lstStyle/>
            <a:p>
              <a:pPr>
                <a:defRPr sz="2000"/>
              </a:pPr>
              <a:endParaRPr lang="en-GB"/>
            </a:p>
          </c:txPr>
          <c:showLegendKey val="0"/>
          <c:showVal val="0"/>
          <c:showCatName val="0"/>
          <c:showSerName val="0"/>
          <c:showPercent val="1"/>
          <c:showBubbleSize val="0"/>
        </c:dLbls>
        <c:firstSliceAng val="0"/>
        <c:holeSize val="50"/>
      </c:doughnutChart>
    </c:plotArea>
    <c:plotVisOnly val="1"/>
  </c:chart>
</c:chartSpace>
</file>

<file path=word/charts/more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dPt>
            <c:idx val="0"/>
            <c:bubble3D val="0"/>
            <c:spPr>
              <a:solidFill>
                <a:srgbClr val="4472C4"/>
              </a:solidFill>
              <a:ln w="19050">
                <a:solidFill>
                  <a:srgbClr val="FFFFFF"/>
                </a:solidFill>
              </a:ln>
            </c:spPr>
          </c:dPt>
          <c:dPt>
            <c:idx val="1"/>
            <c:bubble3D val="0"/>
            <c:spPr>
              <a:solidFill>
                <a:srgbClr val="ED7D31"/>
              </a:solidFill>
              <a:ln w="19050">
                <a:solidFill>
                  <a:srgbClr val="FFFFFF"/>
                </a:solidFill>
              </a:ln>
            </c:spPr>
          </c:dPt>
          <c:dPt>
            <c:idx val="2"/>
            <c:bubble3D val="0"/>
            <c:spPr>
              <a:solidFill>
                <a:srgbClr val="A5A5A5"/>
              </a:solidFill>
              <a:ln w="19050">
                <a:solidFill>
                  <a:srgbClr val="FFFFFF"/>
                </a:solidFill>
              </a:ln>
            </c:spPr>
          </c:dPt>
          <c:dPt>
            <c:idx val="3"/>
            <c:bubble3D val="0"/>
            <c:spPr>
              <a:solidFill>
                <a:srgbClr val="FFC000"/>
              </a:solidFill>
              <a:ln w="19050">
                <a:solidFill>
                  <a:srgbClr val="FFFFFF"/>
                </a:solidFill>
              </a:ln>
            </c:spPr>
          </c:dPt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dLbls>
          <c:txPr>
            <a:bodyPr/>
            <a:lstStyle/>
            <a:p>
              <a:pPr>
                <a:defRPr sz="1400"/>
              </a:pPr>
              <a:endParaRPr lang="en-GB"/>
            </a:p>
          </c:txPr>
          <c:showLegendKey val="0"/>
          <c:showVal val="0"/>
          <c:showCatName val="0"/>
          <c:showSerName val="0"/>
          <c:showPercent val="1"/>
          <c:showBubbleSize val="0"/>
        </c:dLbls>
        <c:firstSliceAng val="0"/>
        <c:holeSize val="50"/>
      </c:doughnutChart>
    </c:plotArea>
    <c:plotVisOnly val="1"/>
  </c:chart>
</c:chartSpace>
</file>

<file path=word/charts/more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dPt>
            <c:idx val="0"/>
            <c:bubble3D val="0"/>
            <c:spPr>
              <a:solidFill>
                <a:srgbClr val="4472C4"/>
              </a:solidFill>
              <a:ln w="19050">
                <a:solidFill>
                  <a:srgbClr val="FFFFFF"/>
                </a:solidFill>
              </a:ln>
            </c:spPr>
          </c:dPt>
          <c:dPt>
            <c:idx val="1"/>
            <c:bubble3D val="0"/>
            <c:spPr>
              <a:solidFill>
                <a:srgbClr val="ED7D31"/>
              </a:solidFill>
              <a:ln w="19050">
                <a:solidFill>
                  <a:srgbClr val="FFFFFF"/>
                </a:solidFill>
              </a:ln>
            </c:spPr>
          </c:dPt>
          <c:dPt>
            <c:idx val="2"/>
            <c:bubble3D val="0"/>
            <c:spPr>
              <a:solidFill>
                <a:srgbClr val="A5A5A5"/>
              </a:solidFill>
              <a:ln w="19050">
                <a:solidFill>
                  <a:srgbClr val="FFFFFF"/>
                </a:solidFill>
              </a:ln>
            </c:spPr>
          </c:dPt>
          <c:dPt>
            <c:idx val="3"/>
            <c:bubble3D val="0"/>
            <c:spPr>
              <a:solidFill>
                <a:srgbClr val="FFC000"/>
              </a:solidFill>
              <a:ln w="19050">
                <a:solidFill>
                  <a:srgbClr val="FFFFFF"/>
                </a:solidFill>
              </a:ln>
            </c:spPr>
          </c:dPt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1"/>
          <c:showBubbleSize val="0"/>
        </c:dLbls>
        <c:firstSliceAng val="0"/>
      </c:pieChart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