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web1.xml" ContentType="application/vnd.openxmlformats-officedocument.drawingml.chart+xml"/>
  <Override PartName="/word/charts/web2.xml" ContentType="application/vnd.openxmlformats-officedocument.drawingml.chart+xml"/>
  <Override PartName="/word/charts/web3.xml" ContentType="application/vnd.openxmlformats-officedocument.drawingml.chart+xml"/>
  <Override PartName="/word/charts/web4.xml" ContentType="application/vnd.openxmlformats-officedocument.drawingml.chart+xml"/>
  <Override PartName="/word/charts/web5.xml" ContentType="application/vnd.openxmlformats-officedocument.drawingml.chart+xml"/>
  <Override PartName="/word/charts/web6.xml" ContentType="application/vnd.openxmlformats-officedocument.drawingml.chart+xml"/>
  <Override PartName="/word/charts/web7.xml" ContentType="application/vnd.openxmlformats-officedocument.drawingml.chart+xml"/>
  <Override PartName="/word/charts/web8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1100" name="Chart 110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01" name="Chart 110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Web2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02" name="Chart 110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Web3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03" name="Chart 110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Web4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04" name="Chart 110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Web5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05" name="Chart 110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Web6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06" name="Chart 110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Web7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07" name="Chart 110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Web8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1108" name="Chart 110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Web9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Web2" Type="http://schemas.openxmlformats.org/officeDocument/2006/relationships/chart" Target="charts/web1.xml"/><Relationship Id="rIdWeb3" Type="http://schemas.openxmlformats.org/officeDocument/2006/relationships/chart" Target="charts/web2.xml"/><Relationship Id="rIdWeb4" Type="http://schemas.openxmlformats.org/officeDocument/2006/relationships/chart" Target="charts/web3.xml"/><Relationship Id="rIdWeb5" Type="http://schemas.openxmlformats.org/officeDocument/2006/relationships/chart" Target="charts/web4.xml"/><Relationship Id="rIdWeb6" Type="http://schemas.openxmlformats.org/officeDocument/2006/relationships/chart" Target="charts/web5.xml"/><Relationship Id="rIdWeb7" Type="http://schemas.openxmlformats.org/officeDocument/2006/relationships/chart" Target="charts/web6.xml"/><Relationship Id="rIdWeb8" Type="http://schemas.openxmlformats.org/officeDocument/2006/relationships/chart" Target="charts/web7.xml"/><Relationship Id="rIdWeb9" Type="http://schemas.openxmlformats.org/officeDocument/2006/relationships/chart" Target="charts/web8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6"/>
          <c:h val="0.8"/>
        </c:manualLayout>
      </c:layout>
      <c:radarChart>
        <c:radarStyle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 cap="rnd">
              <a:solidFill>
                <a:srgbClr val="4472C4"/>
              </a:solidFill>
              <a:round/>
            </a:ln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  <c:pt idx="4">
                  <c:v>Five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  <c:pt idx="4">
                  <c:v>35</c:v>
                </c:pt>
              </c:numCache>
            </c:numRef>
          </c:val>
        </c:ser>
        <c:axId val="111111111"/>
        <c:axId val="222222222"/>
      </c:rad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</c:chart>
</c:chartSpace>
</file>

<file path=word/charts/web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6"/>
          <c:h val="0.8"/>
        </c:manualLayout>
      </c:layout>
      <c:radarChart>
        <c:rada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 cap="rnd">
              <a:solidFill>
                <a:srgbClr val="4472C4"/>
              </a:solidFill>
              <a:round/>
            </a:ln>
          </c:spPr>
          <c:marker>
            <c:symbol val="circle"/>
          </c:marker>
          <c:cat>
            <c:strRef>
              <c:f>Sheet1!$A$2:$A$6</c:f>
              <c:strCache>
                <c:ptCount val="5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  <c:pt idx="4">
                  <c:v>Five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  <c:pt idx="4">
                  <c:v>35</c:v>
                </c:pt>
              </c:numCache>
            </c:numRef>
          </c:val>
        </c:ser>
        <c:axId val="111111111"/>
        <c:axId val="222222222"/>
      </c:rad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</c:chart>
</c:chartSpace>
</file>

<file path=word/charts/web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6"/>
          <c:h val="0.8"/>
        </c:manualLayout>
      </c:layout>
      <c:radarChart>
        <c:radarStyle val="fill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</c:spPr>
          <c:cat>
            <c:strRef>
              <c:f>Sheet1!$A$2:$A$6</c:f>
              <c:strCache>
                <c:ptCount val="5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  <c:pt idx="4">
                  <c:v>Five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  <c:pt idx="4">
                  <c:v>35</c:v>
                </c:pt>
              </c:numCache>
            </c:numRef>
          </c:val>
        </c:ser>
        <c:axId val="111111111"/>
        <c:axId val="222222222"/>
      </c:rad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</c:chart>
</c:chartSpace>
</file>

<file path=word/charts/web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radarChart>
        <c:radarStyle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 cap="rnd">
              <a:solidFill>
                <a:srgbClr val="4472C4"/>
              </a:solidFill>
              <a:round/>
            </a:ln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  <c:pt idx="4">
                  <c:v>Five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  <c:pt idx="4">
                  <c:v>35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Others</c:v>
                </c:pt>
              </c:strCache>
            </c:strRef>
          </c:tx>
          <c:spPr>
            <a:ln w="28575" cap="rnd">
              <a:solidFill>
                <a:srgbClr val="ED7D31"/>
              </a:solidFill>
              <a:round/>
            </a:ln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  <c:pt idx="4">
                  <c:v>Five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10</c:v>
                </c:pt>
                <c:pt idx="1">
                  <c:v>25</c:v>
                </c:pt>
                <c:pt idx="2">
                  <c:v>50</c:v>
                </c:pt>
                <c:pt idx="3">
                  <c:v>15</c:v>
                </c:pt>
                <c:pt idx="4">
                  <c:v>40</c:v>
                </c:pt>
              </c:numCache>
            </c:numRef>
          </c:val>
        </c:ser>
        <c:axId val="111111111"/>
        <c:axId val="222222222"/>
      </c:rad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legend>
      <c:legendPos val="b"/>
      <c:overlay val="0"/>
    </c:legend>
    <c:plotVisOnly val="1"/>
  </c:chart>
</c:chartSpace>
</file>

<file path=word/charts/web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radarChart>
        <c:radarStyle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Units</c:v>
                </c:pt>
              </c:strCache>
            </c:strRef>
          </c:tx>
          <c:spPr>
            <a:ln w="28575" cap="rnd">
              <a:solidFill>
                <a:srgbClr val="4472C4"/>
              </a:solidFill>
              <a:round/>
            </a:ln>
          </c:spPr>
          <c:marker>
            <c:symbol val="none"/>
          </c:marker>
          <c:cat>
            <c:strRef>
              <c:f>Sheet1!$A$2:$A$7</c:f>
              <c:strCache>
                <c:ptCount val="6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  <c:pt idx="4">
                  <c:v>Five</c:v>
                </c:pt>
                <c:pt idx="5">
                  <c:v>Six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30</c:v>
                </c:pt>
                <c:pt idx="1">
                  <c:v>45</c:v>
                </c:pt>
                <c:pt idx="2">
                  <c:v>20</c:v>
                </c:pt>
                <c:pt idx="3">
                  <c:v>55</c:v>
                </c:pt>
                <c:pt idx="4">
                  <c:v>35</c:v>
                </c:pt>
                <c:pt idx="5">
                  <c:v>25</c:v>
                </c:pt>
              </c:numCache>
            </c:numRef>
          </c:val>
        </c:ser>
        <c:axId val="111111111"/>
        <c:axId val="222222222"/>
      </c:radarChart>
      <c:catAx>
        <c:axId val="111111111"/>
        <c:scaling>
          <c:orientation val="minMax"/>
        </c:scaling>
        <c:delete val="0"/>
        <c:axPos val="b"/>
        <c:majorTickMark val="none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web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stockChart>
        <c:ser>
          <c:idx val="0"/>
          <c:order val="0"/>
          <c:tx>
            <c:strRef>
              <c:f>Sheet1!$B$1</c:f>
              <c:strCache>
                <c:ptCount val="1"/>
                <c:pt idx="0">
                  <c:v>High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40</c:v>
                </c:pt>
                <c:pt idx="1">
                  <c:v>52</c:v>
                </c:pt>
                <c:pt idx="2">
                  <c:v>33</c:v>
                </c:pt>
                <c:pt idx="3">
                  <c:v>58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Low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20</c:v>
                </c:pt>
                <c:pt idx="1">
                  <c:v>30</c:v>
                </c:pt>
                <c:pt idx="2">
                  <c:v>15</c:v>
                </c:pt>
                <c:pt idx="3">
                  <c:v>35</c:v>
                </c:pt>
              </c:numCache>
            </c:numRef>
          </c:val>
        </c:ser>
        <c:ser>
          <c:idx val="2"/>
          <c:order val="2"/>
          <c:tx>
            <c:strRef>
              <c:f>Sheet1!$B$3</c:f>
              <c:strCache>
                <c:ptCount val="1"/>
                <c:pt idx="0">
                  <c:v>Close</c:v>
                </c:pt>
              </c:strCache>
            </c:strRef>
          </c:tx>
          <c:spPr>
            <a:ln w="28575">
              <a:noFill/>
            </a:ln>
          </c:spPr>
          <c:marker>
            <c:symbol val="dot"/>
            <c:size val="5"/>
            <c:spPr>
              <a:noFill/>
              <a:ln w="9525">
                <a:solidFill>
                  <a:srgbClr val="000000"/>
                </a:solidFill>
              </a:ln>
            </c:spPr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35</c:v>
                </c:pt>
                <c:pt idx="1">
                  <c:v>33</c:v>
                </c:pt>
                <c:pt idx="2">
                  <c:v>28</c:v>
                </c:pt>
                <c:pt idx="3">
                  <c:v>45</c:v>
                </c:pt>
              </c:numCache>
            </c:numRef>
          </c:val>
        </c:ser>
        <c:hiLowLines/>
        <c:axId val="111111111"/>
        <c:axId val="222222222"/>
      </c:stockChart>
      <c:catAx>
        <c:axId val="111111111"/>
        <c:scaling>
          <c:orientation val="minMax"/>
        </c:scaling>
        <c:delete val="0"/>
        <c:axPos val="b"/>
        <c:majorTickMark val="out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</c:chart>
</c:chartSpace>
</file>

<file path=word/charts/web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stockChart>
        <c:ser>
          <c:idx val="0"/>
          <c:order val="0"/>
          <c:tx>
            <c:strRef>
              <c:f>Sheet1!$B$1</c:f>
              <c:strCache>
                <c:ptCount val="1"/>
                <c:pt idx="0">
                  <c:v>Open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28</c:v>
                </c:pt>
                <c:pt idx="1">
                  <c:v>40</c:v>
                </c:pt>
                <c:pt idx="2">
                  <c:v>22</c:v>
                </c:pt>
                <c:pt idx="3">
                  <c:v>50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High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40</c:v>
                </c:pt>
                <c:pt idx="1">
                  <c:v>52</c:v>
                </c:pt>
                <c:pt idx="2">
                  <c:v>33</c:v>
                </c:pt>
                <c:pt idx="3">
                  <c:v>58</c:v>
                </c:pt>
              </c:numCache>
            </c:numRef>
          </c:val>
        </c:ser>
        <c:ser>
          <c:idx val="2"/>
          <c:order val="2"/>
          <c:tx>
            <c:strRef>
              <c:f>Sheet1!$B$3</c:f>
              <c:strCache>
                <c:ptCount val="1"/>
                <c:pt idx="0">
                  <c:v>Low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20</c:v>
                </c:pt>
                <c:pt idx="1">
                  <c:v>30</c:v>
                </c:pt>
                <c:pt idx="2">
                  <c:v>15</c:v>
                </c:pt>
                <c:pt idx="3">
                  <c:v>35</c:v>
                </c:pt>
              </c:numCache>
            </c:numRef>
          </c:val>
        </c:ser>
        <c:ser>
          <c:idx val="3"/>
          <c:order val="3"/>
          <c:tx>
            <c:strRef>
              <c:f>Sheet1!$B$4</c:f>
              <c:strCache>
                <c:ptCount val="1"/>
                <c:pt idx="0">
                  <c:v>Close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35</c:v>
                </c:pt>
                <c:pt idx="1">
                  <c:v>33</c:v>
                </c:pt>
                <c:pt idx="2">
                  <c:v>28</c:v>
                </c:pt>
                <c:pt idx="3">
                  <c:v>45</c:v>
                </c:pt>
              </c:numCache>
            </c:numRef>
          </c:val>
        </c:ser>
        <c:hiLowLines/>
        <c:upDownBars>
          <c:gapWidth val="150"/>
          <c:upBars>
            <c:spPr>
              <a:solidFill>
                <a:srgbClr val="FFFFFF"/>
              </a:solidFill>
              <a:ln w="9525">
                <a:solidFill>
                  <a:srgbClr val="000000"/>
                </a:solidFill>
              </a:ln>
            </c:spPr>
          </c:upBars>
          <c:downBars>
            <c:spPr>
              <a:solidFill>
                <a:srgbClr val="000000"/>
              </a:solidFill>
              <a:ln w="9525">
                <a:solidFill>
                  <a:srgbClr val="000000"/>
                </a:solidFill>
              </a:ln>
            </c:spPr>
          </c:downBars>
        </c:upDownBars>
        <c:axId val="111111111"/>
        <c:axId val="222222222"/>
      </c:stockChart>
      <c:catAx>
        <c:axId val="111111111"/>
        <c:scaling>
          <c:orientation val="minMax"/>
        </c:scaling>
        <c:delete val="0"/>
        <c:axPos val="b"/>
        <c:majorTickMark val="out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</c:chart>
</c:chartSpace>
</file>

<file path=word/charts/web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/>
      <c:stockChart>
        <c:ser>
          <c:idx val="0"/>
          <c:order val="0"/>
          <c:tx>
            <c:strRef>
              <c:f>Sheet1!$B$1</c:f>
              <c:strCache>
                <c:ptCount val="1"/>
                <c:pt idx="0">
                  <c:v>High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40</c:v>
                </c:pt>
                <c:pt idx="1">
                  <c:v>52</c:v>
                </c:pt>
                <c:pt idx="2">
                  <c:v>33</c:v>
                </c:pt>
                <c:pt idx="3">
                  <c:v>58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Low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20</c:v>
                </c:pt>
                <c:pt idx="1">
                  <c:v>30</c:v>
                </c:pt>
                <c:pt idx="2">
                  <c:v>15</c:v>
                </c:pt>
                <c:pt idx="3">
                  <c:v>35</c:v>
                </c:pt>
              </c:numCache>
            </c:numRef>
          </c:val>
        </c:ser>
        <c:ser>
          <c:idx val="2"/>
          <c:order val="2"/>
          <c:tx>
            <c:strRef>
              <c:f>Sheet1!$B$3</c:f>
              <c:strCache>
                <c:ptCount val="1"/>
                <c:pt idx="0">
                  <c:v>Close</c:v>
                </c:pt>
              </c:strCache>
            </c:strRef>
          </c:tx>
          <c:spPr>
            <a:ln w="28575">
              <a:noFill/>
            </a:ln>
          </c:spPr>
          <c:marker>
            <c:symbol val="dot"/>
            <c:size val="5"/>
            <c:spPr>
              <a:noFill/>
              <a:ln w="9525">
                <a:solidFill>
                  <a:srgbClr val="000000"/>
                </a:solidFill>
              </a:ln>
            </c:spPr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35</c:v>
                </c:pt>
                <c:pt idx="1">
                  <c:v>33</c:v>
                </c:pt>
                <c:pt idx="2">
                  <c:v>28</c:v>
                </c:pt>
                <c:pt idx="3">
                  <c:v>45</c:v>
                </c:pt>
              </c:numCache>
            </c:numRef>
          </c:val>
        </c:ser>
        <c:hiLowLines/>
        <c:axId val="111111111"/>
        <c:axId val="222222222"/>
      </c:stockChart>
      <c:catAx>
        <c:axId val="111111111"/>
        <c:scaling>
          <c:orientation val="minMax"/>
        </c:scaling>
        <c:delete val="0"/>
        <c:axPos val="b"/>
        <c:majorTickMark val="out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</c:valAx>
    </c:plotArea>
    <c:plotVisOnly val="1"/>
  </c:chart>
</c:chartSpace>
</file>

<file path=word/charts/web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stockChart>
        <c:ser>
          <c:idx val="0"/>
          <c:order val="0"/>
          <c:tx>
            <c:strRef>
              <c:f>Sheet1!$B$1</c:f>
              <c:strCache>
                <c:ptCount val="1"/>
                <c:pt idx="0">
                  <c:v>Open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28</c:v>
                </c:pt>
                <c:pt idx="1">
                  <c:v>40</c:v>
                </c:pt>
                <c:pt idx="2">
                  <c:v>22</c:v>
                </c:pt>
                <c:pt idx="3">
                  <c:v>50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High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40</c:v>
                </c:pt>
                <c:pt idx="1">
                  <c:v>52</c:v>
                </c:pt>
                <c:pt idx="2">
                  <c:v>33</c:v>
                </c:pt>
                <c:pt idx="3">
                  <c:v>58</c:v>
                </c:pt>
              </c:numCache>
            </c:numRef>
          </c:val>
        </c:ser>
        <c:ser>
          <c:idx val="2"/>
          <c:order val="2"/>
          <c:tx>
            <c:strRef>
              <c:f>Sheet1!$B$3</c:f>
              <c:strCache>
                <c:ptCount val="1"/>
                <c:pt idx="0">
                  <c:v>Low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20</c:v>
                </c:pt>
                <c:pt idx="1">
                  <c:v>30</c:v>
                </c:pt>
                <c:pt idx="2">
                  <c:v>15</c:v>
                </c:pt>
                <c:pt idx="3">
                  <c:v>35</c:v>
                </c:pt>
              </c:numCache>
            </c:numRef>
          </c:val>
        </c:ser>
        <c:ser>
          <c:idx val="3"/>
          <c:order val="3"/>
          <c:tx>
            <c:strRef>
              <c:f>Sheet1!$B$4</c:f>
              <c:strCache>
                <c:ptCount val="1"/>
                <c:pt idx="0">
                  <c:v>Close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35</c:v>
                </c:pt>
                <c:pt idx="1">
                  <c:v>33</c:v>
                </c:pt>
                <c:pt idx="2">
                  <c:v>28</c:v>
                </c:pt>
                <c:pt idx="3">
                  <c:v>45</c:v>
                </c:pt>
              </c:numCache>
            </c:numRef>
          </c:val>
        </c:ser>
        <c:hiLowLines/>
        <c:upDownBars>
          <c:gapWidth val="50"/>
          <c:upBars>
            <c:spPr>
              <a:solidFill>
                <a:srgbClr val="FFFFFF"/>
              </a:solidFill>
              <a:ln w="9525">
                <a:solidFill>
                  <a:srgbClr val="000000"/>
                </a:solidFill>
              </a:ln>
            </c:spPr>
          </c:upBars>
          <c:downBars>
            <c:spPr>
              <a:solidFill>
                <a:srgbClr val="000000"/>
              </a:solidFill>
              <a:ln w="9525">
                <a:solidFill>
                  <a:srgbClr val="000000"/>
                </a:solidFill>
              </a:ln>
            </c:spPr>
          </c:downBars>
        </c:upDownBars>
        <c:axId val="111111111"/>
        <c:axId val="222222222"/>
      </c:stockChart>
      <c:catAx>
        <c:axId val="111111111"/>
        <c:scaling>
          <c:orientation val="minMax"/>
        </c:scaling>
        <c:delete val="0"/>
        <c:axPos val="b"/>
        <c:majorTickMark val="out"/>
        <c:minorTickMark val="none"/>
        <c:tickLblPos val="nextTo"/>
        <c:crossAx val="222222222"/>
        <c:crosses val="autoZero"/>
        <c:auto val="1"/>
        <c:lblAlgn val="ctr"/>
        <c:lblOffset val="10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