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601" name="Chart 6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602" name="Chart 6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Open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40</c:v>
                </c:pt>
                <c:pt idx="2">
                  <c:v>22</c:v>
                </c:pt>
                <c:pt idx="3">
                  <c:v>50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upDownBars>
          <c:gapWidth val="150"/>
          <c:upBars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</c:spPr>
          </c:upBars>
          <c:downBars>
            <c:spPr>
              <a:solidFill>
                <a:srgbClr val="C00000"/>
              </a:solidFill>
              <a:ln w="9525">
                <a:solidFill>
                  <a:srgbClr val="C00000"/>
                </a:solidFill>
              </a:ln>
            </c:spPr>
          </c:downBars>
        </c:upDownBars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autoTitleDeleted val="1"/>
    <c:plotArea>
      <c:layout>
        <c:manualLayout>
          <c:layoutTarget val="inner"/>
          <c:xMode val="edge"/>
          <c:yMode val="edge"/>
          <c:x val="0.2"/>
          <c:y val="0.1"/>
          <c:w val="0.7"/>
          <c:h val="0.7"/>
        </c:manualLayout>
      </c:layout>
      <c:stockChart>
        <c:ser>
          <c:idx val="0"/>
          <c:order val="0"/>
          <c:tx>
            <c:strRef>
              <c:f>Sheet1!$B$1</c:f>
              <c:strCache>
                <c:ptCount val="1"/>
                <c:pt idx="0">
                  <c:v>Open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28</c:v>
                </c:pt>
                <c:pt idx="1">
                  <c:v>40</c:v>
                </c:pt>
                <c:pt idx="2">
                  <c:v>22</c:v>
                </c:pt>
                <c:pt idx="3">
                  <c:v>50</c:v>
                </c:pt>
              </c:numCache>
            </c:numRef>
          </c:val>
        </c:ser>
        <c:ser>
          <c:idx val="1"/>
          <c:order val="1"/>
          <c:tx>
            <c:strRef>
              <c:f>Sheet1!$B$2</c:f>
              <c:strCache>
                <c:ptCount val="1"/>
                <c:pt idx="0">
                  <c:v>High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40</c:v>
                </c:pt>
                <c:pt idx="1">
                  <c:v>52</c:v>
                </c:pt>
                <c:pt idx="2">
                  <c:v>33</c:v>
                </c:pt>
                <c:pt idx="3">
                  <c:v>58</c:v>
                </c:pt>
              </c:numCache>
            </c:numRef>
          </c:val>
        </c:ser>
        <c:ser>
          <c:idx val="2"/>
          <c:order val="2"/>
          <c:tx>
            <c:strRef>
              <c:f>Sheet1!$B$3</c:f>
              <c:strCache>
                <c:ptCount val="1"/>
                <c:pt idx="0">
                  <c:v>Low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30</c:v>
                </c:pt>
                <c:pt idx="2">
                  <c:v>15</c:v>
                </c:pt>
                <c:pt idx="3">
                  <c:v>35</c:v>
                </c:pt>
              </c:numCache>
            </c:numRef>
          </c:val>
        </c:ser>
        <c:ser>
          <c:idx val="3"/>
          <c:order val="3"/>
          <c:tx>
            <c:strRef>
              <c:f>Sheet1!$B$4</c:f>
              <c:strCache>
                <c:ptCount val="1"/>
                <c:pt idx="0">
                  <c:v>Close</c:v>
                </c:pt>
              </c:strCache>
            </c:strRef>
          </c:tx>
          <c:spPr>
            <a:ln w="28575">
              <a:noFill/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One</c:v>
                </c:pt>
                <c:pt idx="1">
                  <c:v>Two</c:v>
                </c:pt>
                <c:pt idx="2">
                  <c:v>Three</c:v>
                </c:pt>
                <c:pt idx="3">
                  <c:v>Four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33</c:v>
                </c:pt>
                <c:pt idx="2">
                  <c:v>28</c:v>
                </c:pt>
                <c:pt idx="3">
                  <c:v>45</c:v>
                </c:pt>
              </c:numCache>
            </c:numRef>
          </c:val>
        </c:ser>
        <c:hiLowLines/>
        <c:upDownBars>
          <c:gapWidth val="150"/>
          <c:upBars>
            <c:spPr>
              <a:solidFill>
                <a:srgbClr val="C00000"/>
              </a:solidFill>
              <a:ln w="9525">
                <a:solidFill>
                  <a:srgbClr val="C00000"/>
                </a:solidFill>
              </a:ln>
            </c:spPr>
          </c:upBars>
          <c:downBars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</c:spPr>
          </c:downBars>
        </c:upDownBars>
        <c:axId val="111111111"/>
        <c:axId val="222222222"/>
      </c:stockChart>
      <c:catAx>
        <c:axId val="111111111"/>
        <c:scaling>
          <c:orientation val="minMax"/>
        </c:scaling>
        <c:delete val="0"/>
        <c:axPos val="b"/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  <c:max val="60"/>
          <c:min val="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111111111"/>
        <c:crosses val="autoZero"/>
        <c:crossBetween val="between"/>
        <c:majorUnit val="20"/>
      </c:valAx>
    </c:plotArea>
    <c:plotVisOnly val="1"/>
    <c:dispBlanksAs val="gap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