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571" name="Chart 57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72" name="Chart 57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73" name="Chart 57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74" name="Chart 57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75" name="Chart 57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76" name="Chart 57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77" name="Chart 57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78" name="Chart 57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errBars>
            <c:spPr>
              <a:ln w="12700">
                <a:solidFill>
                  <a:srgbClr val="C00000"/>
                </a:solidFill>
              </a:ln>
            </c:spPr>
            <c:errDir val="y"/>
            <c:errBarType val="both"/>
            <c:errValType val="fixedVal"/>
            <c:noEndCap val="0"/>
            <c:val val="10"/>
          </c:errBars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errBars>
            <c:spPr>
              <a:ln w="12700">
                <a:solidFill>
                  <a:srgbClr val="C00000"/>
                </a:solidFill>
              </a:ln>
            </c:spPr>
            <c:errDir val="y"/>
            <c:errBarType val="both"/>
            <c:errValType val="fixedVal"/>
            <c:noEndCap val="1"/>
            <c:val val="10"/>
          </c:errBars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errBars>
            <c:spPr>
              <a:ln w="12700">
                <a:solidFill>
                  <a:srgbClr val="C00000"/>
                </a:solidFill>
              </a:ln>
            </c:spPr>
            <c:errDir val="y"/>
            <c:errBarType val="plus"/>
            <c:errValType val="fixedVal"/>
            <c:noEndCap val="0"/>
            <c:val val="10"/>
          </c:errBars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errBars>
            <c:spPr>
              <a:ln w="12700">
                <a:solidFill>
                  <a:srgbClr val="C00000"/>
                </a:solidFill>
              </a:ln>
            </c:spPr>
            <c:errDir val="y"/>
            <c:errBarType val="both"/>
            <c:errValType val="percentage"/>
            <c:noEndCap val="0"/>
            <c:val val="20"/>
          </c:errBars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errBars>
            <c:spPr>
              <a:ln w="12700">
                <a:solidFill>
                  <a:srgbClr val="C00000"/>
                </a:solidFill>
              </a:ln>
            </c:spPr>
            <c:errDir val="y"/>
            <c:errBarType val="both"/>
            <c:errValType val="stdDev"/>
            <c:noEndCap val="0"/>
            <c:val val="1"/>
          </c:errBars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errBars>
            <c:spPr>
              <a:ln w="12700">
                <a:solidFill>
                  <a:srgbClr val="C00000"/>
                </a:solidFill>
              </a:ln>
            </c:spPr>
            <c:errDir val="y"/>
            <c:errBarType val="both"/>
            <c:errValType val="stdErr"/>
            <c:noEndCap val="0"/>
            <c:val val="10"/>
          </c:errBars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errBars>
            <c:spPr>
              <a:ln w="12700">
                <a:solidFill>
                  <a:srgbClr val="C00000"/>
                </a:solidFill>
              </a:ln>
            </c:spPr>
            <c:errDir val="y"/>
            <c:errBarType val="both"/>
            <c:errValType val="cust"/>
            <c:noEndCap val="0"/>
            <c:plus>
              <c:numRef>
                <c:f>Sheet1!$C$2:$C$5</c:f>
                <c:numCache>
                  <c:formatCode>General</c:formatCode>
                  <c:ptCount val="4"/>
                  <c:pt idx="0">
                    <c:v>5</c:v>
                  </c:pt>
                  <c:pt idx="1">
                    <c:v>10</c:v>
                  </c:pt>
                  <c:pt idx="2">
                    <c:v>15</c:v>
                  </c:pt>
                  <c:pt idx="3">
                    <c:v>20</c:v>
                  </c:pt>
                </c:numCache>
              </c:numRef>
            </c:plus>
            <c:minus>
              <c:numRef>
                <c:f>Sheet1!$D$2:$D$5</c:f>
                <c:numCache>
                  <c:formatCode>General</c:formatCode>
                  <c:ptCount val="4"/>
                  <c:pt idx="0">
                    <c:v>20</c:v>
                  </c:pt>
                  <c:pt idx="1">
                    <c:v>15</c:v>
                  </c:pt>
                  <c:pt idx="2">
                    <c:v>10</c:v>
                  </c:pt>
                  <c:pt idx="3">
                    <c:v>5</c:v>
                  </c:pt>
                </c:numCache>
              </c:numRef>
            </c:minus>
            <c:val val="10"/>
          </c:errBars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5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errBars>
            <c:spPr>
              <a:ln w="12700">
                <a:solidFill>
                  <a:srgbClr val="C00000"/>
                </a:solidFill>
              </a:ln>
            </c:spPr>
            <c:errDir val="y"/>
            <c:errBarType val="both"/>
            <c:errValType val="fixedVal"/>
            <c:noEndCap val="0"/>
            <c:val val="10"/>
          </c:errBars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txPr>
          <a:bodyPr/>
          <a:lstStyle/>
          <a:p>
            <a:pPr>
              <a:defRPr sz="18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