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310" name="Chart 131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p90 15/20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11" name="Chart 13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p160 15/20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12" name="Chart 131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p240 15/20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13" name="Chart 131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p120 30/20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14" name="Chart 131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p160 40/45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15" name="Chart 131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p80 depth 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16" name="Chart 131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p80 depth 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17" name="Chart 131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p50 h 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18" name="Chart 131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p50 h 25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19" name="Chart 131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p50 10/70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20" name="Chart 132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p50 60/15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21" name="Chart 132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p30 two cats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22" name="Chart 132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p100 two cats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23" name="Chart 132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held p140 25/35 d150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24" name="Chart 132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held p100 20/50 h50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9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8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8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5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50"/>
      <c:depthPercent val="100"/>
      <c:hPercent val="25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0"/>
      <c:rotY val="70"/>
      <c:rAngAx val="0"/>
      <c:perspective val="5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15"/>
      <c:rAngAx val="0"/>
      <c:perspective val="5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35"/>
      <c:rAngAx val="0"/>
      <c:perspective val="140"/>
      <c:dept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50"/>
      <c:rAngAx val="0"/>
      <c:perspective val="100"/>
      <c:depthPercent val="100"/>
      <c: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