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above the first.</w:t>
      </w:r>
    </w:p>
    <w:p>
      <w:pPr>
        <w:shd w:val="clear" w:color="auto" w:fill="FFF2CC"/>
        <w:spacing w:before="0" w:after="0" w:line="240" w:lineRule="auto"/>
      </w:pPr>
      <w:r>
        <w:rPr>
          <w:rFonts w:ascii="Times New Roman" w:hAnsi="Times New Roman"/>
          <w:sz w:val="24"/>
        </w:rPr>
        <w:t xml:space="preserve">One shaded line, no spacing.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between.</w:t>
      </w:r>
    </w:p>
    <w:p>
      <w:pPr>
        <w:shd w:val="clear" w:color="auto" w:fill="FFF2CC"/>
        <w:spacing w:before="240" w:after="240"/>
      </w:pPr>
      <w:r>
        <w:rPr>
          <w:rFonts w:ascii="Times New Roman" w:hAnsi="Times New Roman"/>
          <w:sz w:val="24"/>
        </w:rPr>
        <w:t xml:space="preserve">One shaded line with twelve points before and after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between again.</w:t>
      </w:r>
    </w:p>
    <w:p>
      <w:pPr>
        <w:shd w:val="clear" w:color="auto" w:fill="FFF2CC"/>
        <w:spacing w:before="0" w:after="0" w:line="240" w:lineRule="auto"/>
      </w:pPr>
      <w:r>
        <w:rPr>
          <w:rFonts w:ascii="Times New Roman" w:hAnsi="Times New Roman"/>
          <w:sz w:val="24"/>
        </w:rPr>
        <w:t xml:space="preserve">A shaded paragraph long enough to take three lines of the measure, so that the fill has an inside as well as a top and a bottom, and a last line that stops short of the right margin.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below.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Indents.</w:t>
      </w:r>
    </w:p>
    <w:p>
      <w:pPr>
        <w:shd w:val="clear" w:color="auto" w:fill="DEEBF7"/>
        <w:spacing w:before="0" w:after="0" w:line="240" w:lineRule="auto"/>
        <w:ind w:left="720"/>
      </w:pPr>
      <w:r>
        <w:rPr>
          <w:rFonts w:ascii="Times New Roman" w:hAnsi="Times New Roman"/>
          <w:sz w:val="24"/>
        </w:rPr>
        <w:t xml:space="preserve">Half an inch in from the left.</w:t>
      </w:r>
    </w:p>
    <w:p>
      <w:pPr>
        <w:shd w:val="clear" w:color="auto" w:fill="DEEBF7"/>
        <w:spacing w:before="0" w:after="0" w:line="240" w:lineRule="auto"/>
        <w:ind w:right="720"/>
      </w:pPr>
      <w:r>
        <w:rPr>
          <w:rFonts w:ascii="Times New Roman" w:hAnsi="Times New Roman"/>
          <w:sz w:val="24"/>
        </w:rPr>
        <w:t xml:space="preserve">Half an inch in from the right.</w:t>
      </w:r>
    </w:p>
    <w:p>
      <w:pPr>
        <w:shd w:val="clear" w:color="auto" w:fill="DEEBF7"/>
        <w:spacing w:before="0" w:after="0" w:line="240" w:lineRule="auto"/>
        <w:ind w:firstLine="720"/>
      </w:pPr>
      <w:r>
        <w:rPr>
          <w:rFonts w:ascii="Times New Roman" w:hAnsi="Times New Roman"/>
          <w:sz w:val="24"/>
        </w:rPr>
        <w:t xml:space="preserve">First line indented, the rest not.</w:t>
      </w:r>
    </w:p>
    <w:p>
      <w:pPr>
        <w:shd w:val="clear" w:color="auto" w:fill="DEEBF7"/>
        <w:spacing w:before="0" w:after="0" w:line="240" w:lineRule="auto"/>
        <w:jc w:val="center"/>
      </w:pPr>
      <w:r>
        <w:rPr>
          <w:rFonts w:ascii="Times New Roman" w:hAnsi="Times New Roman"/>
          <w:sz w:val="24"/>
        </w:rPr>
        <w:t xml:space="preserve">Centred, and shorter than the measure.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in a row.</w:t>
      </w:r>
    </w:p>
    <w:p>
      <w:pPr>
        <w:shd w:val="clear" w:color="auto" w:fill="E2EFDA"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first of two, shaded.</w:t>
      </w:r>
    </w:p>
    <w:p>
      <w:pPr>
        <w:shd w:val="clear" w:color="auto" w:fill="E2EFDA"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second of two, the same.</w:t>
      </w:r>
    </w:p>
    <w:p>
      <w:pPr>
        <w:shd w:val="clear" w:color="auto" w:fill="FCE4D6"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third, a different fill.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below the three.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Patterns.</w:t>
      </w:r>
    </w:p>
    <w:p>
      <w:pPr>
        <w:shd w:val="pct10" w:color="FF0000" w:fill="FFFF00"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 pct10, red on yellow.</w:t>
      </w:r>
    </w:p>
    <w:p>
      <w:pPr>
        <w:shd w:val="pct25" w:color="FF0000" w:fill="FFFF00"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 pct25, red on yellow.</w:t>
      </w:r>
    </w:p>
    <w:p>
      <w:pPr>
        <w:shd w:val="pct50" w:color="FF0000" w:fill="FFFF00"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 pct50, red on yellow.</w:t>
      </w:r>
    </w:p>
    <w:p>
      <w:pPr>
        <w:shd w:val="pct75" w:color="FF0000" w:fill="FFFF00"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 pct75, red on yellow.</w:t>
      </w:r>
    </w:p>
    <w:p>
      <w:pPr>
        <w:shd w:val="solid" w:color="FF0000" w:fill="FFFF00"/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 solid, red on yellow.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