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Centre: 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ふりがな</w:t>
            </w:r>
          </w:rt>
          <w:rubyBase>
            <w:r>
              <w:rPr>
                <w:rFonts w:ascii="MS Mincho" w:hAnsi="MS Mincho" w:eastAsia="MS Mincho"/>
                <w:sz w:val="24"/>
              </w:rPr>
              <w:t>振仮名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Left: </w:t>
      </w:r>
      <w:r>
        <w:ruby>
          <w:rubyPr>
            <w:rubyAlign w:val="left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ふりがな</w:t>
            </w:r>
          </w:rt>
          <w:rubyBase>
            <w:r>
              <w:rPr>
                <w:rFonts w:ascii="MS Mincho" w:hAnsi="MS Mincho" w:eastAsia="MS Mincho"/>
                <w:sz w:val="24"/>
              </w:rPr>
              <w:t>振仮名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Right: </w:t>
      </w:r>
      <w:r>
        <w:ruby>
          <w:rubyPr>
            <w:rubyAlign w:val="right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ふりがな</w:t>
            </w:r>
          </w:rt>
          <w:rubyBase>
            <w:r>
              <w:rPr>
                <w:rFonts w:ascii="MS Mincho" w:hAnsi="MS Mincho" w:eastAsia="MS Mincho"/>
                <w:sz w:val="24"/>
              </w:rPr>
              <w:t>振仮名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Letters: </w:t>
      </w:r>
      <w:r>
        <w:ruby>
          <w:rubyPr>
            <w:rubyAlign w:val="distributeLetter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ふりがな</w:t>
            </w:r>
          </w:rt>
          <w:rubyBase>
            <w:r>
              <w:rPr>
                <w:rFonts w:ascii="MS Mincho" w:hAnsi="MS Mincho" w:eastAsia="MS Mincho"/>
                <w:sz w:val="24"/>
              </w:rPr>
              <w:t>振仮名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Spaces: 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ふりがな</w:t>
            </w:r>
          </w:rt>
          <w:rubyBase>
            <w:r>
              <w:rPr>
                <w:rFonts w:ascii="MS Mincho" w:hAnsi="MS Mincho" w:eastAsia="MS Mincho"/>
                <w:sz w:val="24"/>
              </w:rPr>
              <w:t>振仮名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guide: 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あいうえおかきく</w:t>
            </w:r>
          </w:rt>
          <w:rubyBase>
            <w:r>
              <w:rPr>
                <w:rFonts w:ascii="MS Mincho" w:hAnsi="MS Mincho" w:eastAsia="MS Mincho"/>
                <w:sz w:val="24"/>
              </w:rPr>
              <w:t>字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Narrow guide: 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あい</w:t>
            </w:r>
          </w:rt>
          <w:rubyBase>
            <w:r>
              <w:rPr>
                <w:rFonts w:ascii="MS Mincho" w:hAnsi="MS Mincho" w:eastAsia="MS Mincho"/>
                <w:sz w:val="24"/>
              </w:rPr>
              <w:t>振仮名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of them: 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ふり</w:t>
            </w:r>
          </w:rt>
          <w:rubyBase>
            <w:r>
              <w:rPr>
                <w:rFonts w:ascii="MS Mincho" w:hAnsi="MS Mincho" w:eastAsia="MS Mincho"/>
                <w:sz w:val="24"/>
              </w:rPr>
              <w:t>振</w:t>
            </w:r>
          </w:rubyBase>
        </w:ruby>
      </w:r>
      <w:r>
        <w:rPr>
          <w:rFonts w:ascii="Times New Roman" w:hAnsi="Times New Roman"/>
          <w:sz w:val="24"/>
        </w:rPr>
        <w:t xml:space="preserve"> and 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rFonts w:ascii="MS Mincho" w:hAnsi="MS Mincho" w:eastAsia="MS Mincho"/>
                <w:sz w:val="12"/>
              </w:rPr>
              <w:t>がな</w:t>
            </w:r>
          </w:rt>
          <w:rubyBase>
            <w:r>
              <w:rPr>
                <w:rFonts w:ascii="MS Mincho" w:hAnsi="MS Mincho" w:eastAsia="MS Mincho"/>
                <w:sz w:val="24"/>
              </w:rPr>
              <w:t>名</w:t>
            </w:r>
          </w:rubyBase>
        </w:ruby>
      </w:r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 ordinary line beneath them all.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