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right"/>
      </w:pPr>
      <w:r>
        <w:t>משולש מראה חצי מעבירה גוגולת</w:t>
      </w:r>
    </w:p>
    <w:p/>
    <w:p>
      <w:pPr>
        <w:pStyle w:val="Heading1"/>
        <w:jc w:val="right"/>
      </w:pPr>
      <w:r>
        <w:t>ציוד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משולש מראה חצי מעבירה גוגולת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