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pBdr>
          <w:bottom w:val="single" w:color="C4A265" w:sz="4" w:space="8"/>
        </w:pBdr>
        <w:spacing w:after="100"/>
        <w:jc w:val="center"/>
      </w:pPr>
      <w:r>
        <w:rPr>
          <w:rFonts w:ascii="Arial" w:cs="Arial" w:eastAsia="Arial" w:hAnsi="Arial"/>
          <w:b/>
          <w:bCs/>
          <w:color w:val="C4A265"/>
          <w:spacing w:val="300"/>
          <w:sz w:val="20"/>
          <w:szCs w:val="20"/>
        </w:rPr>
        <w:t xml:space="preserve">SENN BIOMEDICAL RESEARCH</w:t>
      </w:r>
    </w:p>
    <w:p>
      <w:pPr>
        <w:spacing w:before="400" w:after="0"/>
      </w:pPr>
    </w:p>
    <w:p>
      <w:pPr>
        <w:spacing w:after="200"/>
        <w:jc w:val="center"/>
      </w:pPr>
      <w:r>
        <w:rPr>
          <w:rFonts w:ascii="Arial" w:cs="Arial" w:eastAsia="Arial" w:hAnsi="Arial"/>
          <w:b/>
          <w:bCs/>
          <w:color w:val="1B2A4A"/>
          <w:sz w:val="28"/>
          <w:szCs w:val="28"/>
        </w:rPr>
        <w:t xml:space="preserve">THE SCIENTIFIC PROCESS FOR</w:t>
      </w:r>
    </w:p>
    <w:p>
      <w:pPr>
        <w:spacing w:after="100"/>
        <w:jc w:val="center"/>
      </w:pPr>
      <w:r>
        <w:rPr>
          <w:rFonts w:ascii="Arial" w:cs="Arial" w:eastAsia="Arial" w:hAnsi="Arial"/>
          <w:b/>
          <w:bCs/>
          <w:color w:val="1B2A4A"/>
          <w:sz w:val="52"/>
          <w:szCs w:val="52"/>
        </w:rPr>
        <w:t xml:space="preserve">CURING HUNTINGTON’S DISEASE</w:t>
      </w:r>
    </w:p>
    <w:p>
      <w:pPr>
        <w:spacing w:after="400"/>
        <w:jc w:val="center"/>
      </w:pPr>
      <w:r>
        <w:rPr>
          <w:rFonts w:ascii="Arial" w:cs="Arial" w:eastAsia="Arial" w:hAnsi="Arial"/>
          <w:i/>
          <w:iCs/>
          <w:color w:val="3A7CA5"/>
          <w:sz w:val="24"/>
          <w:szCs w:val="24"/>
        </w:rPr>
        <w:t xml:space="preserve">A Comprehensive Multi-Vector Therapeutic Strategy</w:t>
      </w:r>
    </w:p>
    <w:p>
      <w:pPr>
        <w:pBdr>
          <w:top w:val="single" w:color="C4A265" w:sz="4" w:space="8"/>
        </w:pBdr>
        <w:spacing w:after="60"/>
        <w:jc w:val="center"/>
      </w:pPr>
      <w:r>
        <w:rPr>
          <w:rFonts w:ascii="Arial" w:cs="Arial" w:eastAsia="Arial" w:hAnsi="Arial"/>
          <w:color w:val="666666"/>
          <w:sz w:val="20"/>
          <w:szCs w:val="20"/>
        </w:rPr>
        <w:t xml:space="preserve">Integrating Gene Silencing, Somatic Expansion Prevention,</w:t>
      </w:r>
    </w:p>
    <w:p>
      <w:pPr>
        <w:spacing w:after="60"/>
        <w:jc w:val="center"/>
      </w:pPr>
      <w:r>
        <w:rPr>
          <w:rFonts w:ascii="Arial" w:cs="Arial" w:eastAsia="Arial" w:hAnsi="Arial"/>
          <w:color w:val="666666"/>
          <w:sz w:val="20"/>
          <w:szCs w:val="20"/>
        </w:rPr>
        <w:t xml:space="preserve">CRISPR Gene Editing, Targeted Protein Degradation,</w:t>
      </w:r>
    </w:p>
    <w:p>
      <w:pPr>
        <w:spacing w:after="60"/>
        <w:jc w:val="center"/>
      </w:pPr>
      <w:r>
        <w:rPr>
          <w:rFonts w:ascii="Arial" w:cs="Arial" w:eastAsia="Arial" w:hAnsi="Arial"/>
          <w:color w:val="666666"/>
          <w:sz w:val="20"/>
          <w:szCs w:val="20"/>
        </w:rPr>
        <w:t xml:space="preserve">Neuroprotective Interventions, and Neural Restoration</w:t>
      </w:r>
    </w:p>
    <w:p>
      <w:pPr>
        <w:spacing w:before="800" w:after="0"/>
      </w:pPr>
    </w:p>
    <w:p>
      <w:pPr>
        <w:spacing w:after="60"/>
        <w:jc w:val="center"/>
      </w:pPr>
      <w:r>
        <w:rPr>
          <w:rFonts w:ascii="Arial" w:cs="Arial" w:eastAsia="Arial" w:hAnsi="Arial"/>
          <w:b/>
          <w:bCs/>
          <w:color w:val="1B2A4A"/>
          <w:spacing w:val="200"/>
          <w:sz w:val="18"/>
          <w:szCs w:val="18"/>
        </w:rPr>
        <w:t xml:space="preserve">ULTRA MAX DESIGN DOCUMENT</w:t>
      </w:r>
    </w:p>
    <w:p>
      <w:pPr>
        <w:spacing w:after="60"/>
        <w:jc w:val="center"/>
      </w:pPr>
      <w:r>
        <w:rPr>
          <w:rFonts w:ascii="Arial" w:cs="Arial" w:eastAsia="Arial" w:hAnsi="Arial"/>
          <w:color w:val="888888"/>
          <w:sz w:val="18"/>
          <w:szCs w:val="18"/>
        </w:rPr>
        <w:t xml:space="preserve">Version 1.0  |  February 2026</w:t>
      </w:r>
    </w:p>
    <w:p>
      <w:pPr>
        <w:spacing w:before="200" w:after="0"/>
      </w:pPr>
    </w:p>
    <w:p>
      <w:pPr>
        <w:spacing w:after="60"/>
        <w:jc w:val="center"/>
      </w:pPr>
      <w:r>
        <w:rPr>
          <w:rFonts w:ascii="Arial" w:cs="Arial" w:eastAsia="Arial" w:hAnsi="Arial"/>
          <w:b/>
          <w:bCs/>
          <w:color w:val="1B2A4A"/>
          <w:sz w:val="22"/>
          <w:szCs w:val="22"/>
        </w:rPr>
        <w:t xml:space="preserve">Nathan Senn</w:t>
      </w:r>
    </w:p>
    <w:p>
      <w:pPr>
        <w:spacing w:after="60"/>
        <w:jc w:val="center"/>
      </w:pPr>
      <w:r>
        <w:rPr>
          <w:rFonts w:ascii="Arial" w:cs="Arial" w:eastAsia="Arial" w:hAnsi="Arial"/>
          <w:color w:val="888888"/>
          <w:sz w:val="18"/>
          <w:szCs w:val="18"/>
        </w:rPr>
        <w:t xml:space="preserve">Founder &amp; Principal Investigator  |  Century of Senn Initiative</w:t>
      </w:r>
    </w:p>
    <w:p>
      <w:pPr>
        <w:spacing w:before="600" w:after="0"/>
      </w:pPr>
    </w:p>
    <w:p>
      <w:pPr>
        <w:jc w:val="center"/>
      </w:pPr>
      <w:r>
        <w:rPr>
          <w:rFonts w:ascii="Arial" w:cs="Arial" w:eastAsia="Arial" w:hAnsi="Arial"/>
          <w:i/>
          <w:iCs/>
          <w:color w:val="C4A265"/>
          <w:sz w:val="20"/>
          <w:szCs w:val="20"/>
        </w:rPr>
        <w:t xml:space="preserve">"We Build. We Serve. We Stay Invisible."</w:t>
      </w:r>
    </w:p>
    <w:p>
      <w:pPr>
        <w:sectPr>
          <w:pgSz w:w="12240" w:h="15840" w:orient="portrait"/>
          <w:pgMar w:top="1440" w:right="1440" w:bottom="1440" w:left="1440" w:header="708" w:footer="708" w:gutter="0"/>
          <w:pgNumType/>
          <w:docGrid w:linePitch="360"/>
        </w:sectPr>
      </w:pPr>
    </w:p>
    <w:p>
      <w:pPr>
        <w:spacing w:before="2000" w:after="0"/>
      </w:pPr>
    </w:p>
    <w:p>
      <w:pPr>
        <w:spacing w:after="400"/>
        <w:jc w:val="center"/>
      </w:pPr>
      <w:r>
        <w:rPr>
          <w:rFonts w:ascii="Arial" w:cs="Arial" w:eastAsia="Arial" w:hAnsi="Arial"/>
          <w:b/>
          <w:bCs/>
          <w:color w:val="1B2A4A"/>
          <w:spacing w:val="300"/>
          <w:sz w:val="20"/>
          <w:szCs w:val="20"/>
        </w:rPr>
        <w:t xml:space="preserve">DEDICATION</w:t>
      </w:r>
    </w:p>
    <w:p>
      <w:pPr>
        <w:spacing w:after="200"/>
        <w:jc w:val="center"/>
      </w:pPr>
      <w:r>
        <w:rPr>
          <w:rFonts w:ascii="Arial" w:cs="Arial" w:eastAsia="Arial" w:hAnsi="Arial"/>
          <w:i/>
          <w:iCs/>
          <w:color w:val="1B2A4A"/>
          <w:sz w:val="32"/>
          <w:szCs w:val="32"/>
        </w:rPr>
        <w:t xml:space="preserve">For Connor</w:t>
      </w:r>
    </w:p>
    <w:p>
      <w:pPr>
        <w:spacing w:after="200" w:line="360"/>
        <w:jc w:val="center"/>
      </w:pPr>
      <w:r>
        <w:rPr>
          <w:rFonts w:ascii="Arial" w:cs="Arial" w:eastAsia="Arial" w:hAnsi="Arial"/>
          <w:i/>
          <w:iCs/>
          <w:color w:val="555555"/>
          <w:sz w:val="22"/>
          <w:szCs w:val="22"/>
        </w:rPr>
        <w:t xml:space="preserve">And for every child who has watched a parent fade away to this cruel disease. You are not alone. We will not stop until Huntington’s is erased from the human story.</w:t>
      </w:r>
    </w:p>
    <w:p>
      <w:pPr>
        <w:spacing w:before="400" w:after="0"/>
      </w:pPr>
    </w:p>
    <w:p>
      <w:pPr>
        <w:spacing w:after="200" w:line="360"/>
        <w:jc w:val="center"/>
      </w:pPr>
      <w:r>
        <w:rPr>
          <w:rFonts w:ascii="Arial" w:cs="Arial" w:eastAsia="Arial" w:hAnsi="Arial"/>
          <w:i/>
          <w:iCs/>
          <w:color w:val="555555"/>
          <w:sz w:val="22"/>
          <w:szCs w:val="22"/>
        </w:rPr>
        <w:t xml:space="preserve">In memory of all those taken too soon by the huntingtin mutation—including the mother of my son, who was only twenty-nine years old.</w:t>
      </w:r>
    </w:p>
    <w:p>
      <w:pPr>
        <w:spacing w:before="400" w:after="0"/>
      </w:pPr>
    </w:p>
    <w:p>
      <w:pPr>
        <w:jc w:val="center"/>
      </w:pPr>
      <w:r>
        <w:rPr>
          <w:rFonts w:ascii="Arial" w:cs="Arial" w:eastAsia="Arial" w:hAnsi="Arial"/>
          <w:color w:val="888888"/>
          <w:sz w:val="20"/>
          <w:szCs w:val="20"/>
        </w:rPr>
        <w:t xml:space="preserve">— Nathan Senn, February 2026</w:t>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color w:val="1B2A4A"/>
          <w:spacing w:val="200"/>
          <w:sz w:val="28"/>
          <w:szCs w:val="28"/>
        </w:rPr>
        <w:t xml:space="preserve">TABLE OF CONTENTS</w:t>
      </w:r>
    </w:p>
    <w:p>
      <w:pPr>
        <w:spacing w:after="160" w:line="276"/>
        <w:jc w:val="left"/>
      </w:pPr>
      <w:r>
        <w:rPr>
          <w:rFonts w:ascii="Arial" w:cs="Arial" w:eastAsia="Arial" w:hAnsi="Arial"/>
          <w:b/>
          <w:bCs/>
          <w:i w:val="false"/>
          <w:iCs w:val="false"/>
          <w:color w:val="1B2A4A"/>
          <w:sz w:val="22"/>
          <w:szCs w:val="22"/>
        </w:rPr>
        <w:t xml:space="preserve">Part I: </w:t>
      </w:r>
      <w:r>
        <w:rPr>
          <w:rFonts w:ascii="Arial" w:cs="Arial" w:eastAsia="Arial" w:hAnsi="Arial"/>
          <w:b w:val="false"/>
          <w:bCs w:val="false"/>
          <w:i w:val="false"/>
          <w:iCs w:val="false"/>
          <w:color w:val="333333"/>
          <w:sz w:val="22"/>
          <w:szCs w:val="22"/>
        </w:rPr>
        <w:t xml:space="preserve">Understanding the Enemy — Huntington’s Disease Pathobiology</w:t>
      </w:r>
    </w:p>
    <w:p>
      <w:pPr>
        <w:spacing w:after="160" w:line="276"/>
        <w:jc w:val="left"/>
      </w:pPr>
      <w:r>
        <w:rPr>
          <w:rFonts w:ascii="Arial" w:cs="Arial" w:eastAsia="Arial" w:hAnsi="Arial"/>
          <w:b/>
          <w:bCs/>
          <w:i w:val="false"/>
          <w:iCs w:val="false"/>
          <w:color w:val="1B2A4A"/>
          <w:sz w:val="22"/>
          <w:szCs w:val="22"/>
        </w:rPr>
        <w:t xml:space="preserve">Part II: </w:t>
      </w:r>
      <w:r>
        <w:rPr>
          <w:rFonts w:ascii="Arial" w:cs="Arial" w:eastAsia="Arial" w:hAnsi="Arial"/>
          <w:b w:val="false"/>
          <w:bCs w:val="false"/>
          <w:i w:val="false"/>
          <w:iCs w:val="false"/>
          <w:color w:val="333333"/>
          <w:sz w:val="22"/>
          <w:szCs w:val="22"/>
        </w:rPr>
        <w:t xml:space="preserve">The Six-Vector Cure Strategy</w:t>
      </w:r>
    </w:p>
    <w:p>
      <w:pPr>
        <w:spacing w:after="160" w:line="276"/>
        <w:jc w:val="left"/>
      </w:pPr>
      <w:r>
        <w:rPr>
          <w:rFonts w:ascii="Arial" w:cs="Arial" w:eastAsia="Arial" w:hAnsi="Arial"/>
          <w:b/>
          <w:bCs/>
          <w:i w:val="false"/>
          <w:iCs w:val="false"/>
          <w:color w:val="1B2A4A"/>
          <w:sz w:val="22"/>
          <w:szCs w:val="22"/>
        </w:rPr>
        <w:t xml:space="preserve">Part III: </w:t>
      </w:r>
      <w:r>
        <w:rPr>
          <w:rFonts w:ascii="Arial" w:cs="Arial" w:eastAsia="Arial" w:hAnsi="Arial"/>
          <w:b w:val="false"/>
          <w:bCs w:val="false"/>
          <w:i w:val="false"/>
          <w:iCs w:val="false"/>
          <w:color w:val="333333"/>
          <w:sz w:val="22"/>
          <w:szCs w:val="22"/>
        </w:rPr>
        <w:t xml:space="preserve">Vector 1 — Gene Silencing via RNA Interference (AMT-130 Paradigm)</w:t>
      </w:r>
    </w:p>
    <w:p>
      <w:pPr>
        <w:spacing w:after="160" w:line="276"/>
        <w:jc w:val="left"/>
      </w:pPr>
      <w:r>
        <w:rPr>
          <w:rFonts w:ascii="Arial" w:cs="Arial" w:eastAsia="Arial" w:hAnsi="Arial"/>
          <w:b/>
          <w:bCs/>
          <w:i w:val="false"/>
          <w:iCs w:val="false"/>
          <w:color w:val="1B2A4A"/>
          <w:sz w:val="22"/>
          <w:szCs w:val="22"/>
        </w:rPr>
        <w:t xml:space="preserve">Part IV: </w:t>
      </w:r>
      <w:r>
        <w:rPr>
          <w:rFonts w:ascii="Arial" w:cs="Arial" w:eastAsia="Arial" w:hAnsi="Arial"/>
          <w:b w:val="false"/>
          <w:bCs w:val="false"/>
          <w:i w:val="false"/>
          <w:iCs w:val="false"/>
          <w:color w:val="333333"/>
          <w:sz w:val="22"/>
          <w:szCs w:val="22"/>
        </w:rPr>
        <w:t xml:space="preserve">Vector 2 — Somatic Expansion Prevention (MSH3 Targeting)</w:t>
      </w:r>
    </w:p>
    <w:p>
      <w:pPr>
        <w:spacing w:after="160" w:line="276"/>
        <w:jc w:val="left"/>
      </w:pPr>
      <w:r>
        <w:rPr>
          <w:rFonts w:ascii="Arial" w:cs="Arial" w:eastAsia="Arial" w:hAnsi="Arial"/>
          <w:b/>
          <w:bCs/>
          <w:i w:val="false"/>
          <w:iCs w:val="false"/>
          <w:color w:val="1B2A4A"/>
          <w:sz w:val="22"/>
          <w:szCs w:val="22"/>
        </w:rPr>
        <w:t xml:space="preserve">Part V: </w:t>
      </w:r>
      <w:r>
        <w:rPr>
          <w:rFonts w:ascii="Arial" w:cs="Arial" w:eastAsia="Arial" w:hAnsi="Arial"/>
          <w:b w:val="false"/>
          <w:bCs w:val="false"/>
          <w:i w:val="false"/>
          <w:iCs w:val="false"/>
          <w:color w:val="333333"/>
          <w:sz w:val="22"/>
          <w:szCs w:val="22"/>
        </w:rPr>
        <w:t xml:space="preserve">Vector 3 — Allele-Selective CRISPR Gene Editing</w:t>
      </w:r>
    </w:p>
    <w:p>
      <w:pPr>
        <w:spacing w:after="160" w:line="276"/>
        <w:jc w:val="left"/>
      </w:pPr>
      <w:r>
        <w:rPr>
          <w:rFonts w:ascii="Arial" w:cs="Arial" w:eastAsia="Arial" w:hAnsi="Arial"/>
          <w:b/>
          <w:bCs/>
          <w:i w:val="false"/>
          <w:iCs w:val="false"/>
          <w:color w:val="1B2A4A"/>
          <w:sz w:val="22"/>
          <w:szCs w:val="22"/>
        </w:rPr>
        <w:t xml:space="preserve">Part VI: </w:t>
      </w:r>
      <w:r>
        <w:rPr>
          <w:rFonts w:ascii="Arial" w:cs="Arial" w:eastAsia="Arial" w:hAnsi="Arial"/>
          <w:b w:val="false"/>
          <w:bCs w:val="false"/>
          <w:i w:val="false"/>
          <w:iCs w:val="false"/>
          <w:color w:val="333333"/>
          <w:sz w:val="22"/>
          <w:szCs w:val="22"/>
        </w:rPr>
        <w:t xml:space="preserve">Vector 4 — Targeted Protein Degradation &amp; Aggregate Clearance</w:t>
      </w:r>
    </w:p>
    <w:p>
      <w:pPr>
        <w:spacing w:after="160" w:line="276"/>
        <w:jc w:val="left"/>
      </w:pPr>
      <w:r>
        <w:rPr>
          <w:rFonts w:ascii="Arial" w:cs="Arial" w:eastAsia="Arial" w:hAnsi="Arial"/>
          <w:b/>
          <w:bCs/>
          <w:i w:val="false"/>
          <w:iCs w:val="false"/>
          <w:color w:val="1B2A4A"/>
          <w:sz w:val="22"/>
          <w:szCs w:val="22"/>
        </w:rPr>
        <w:t xml:space="preserve">Part VII: </w:t>
      </w:r>
      <w:r>
        <w:rPr>
          <w:rFonts w:ascii="Arial" w:cs="Arial" w:eastAsia="Arial" w:hAnsi="Arial"/>
          <w:b w:val="false"/>
          <w:bCs w:val="false"/>
          <w:i w:val="false"/>
          <w:iCs w:val="false"/>
          <w:color w:val="333333"/>
          <w:sz w:val="22"/>
          <w:szCs w:val="22"/>
        </w:rPr>
        <w:t xml:space="preserve">Vector 5 — Neuroprotective &amp; Neurorestorative Interventions</w:t>
      </w:r>
    </w:p>
    <w:p>
      <w:pPr>
        <w:spacing w:after="160" w:line="276"/>
        <w:jc w:val="left"/>
      </w:pPr>
      <w:r>
        <w:rPr>
          <w:rFonts w:ascii="Arial" w:cs="Arial" w:eastAsia="Arial" w:hAnsi="Arial"/>
          <w:b/>
          <w:bCs/>
          <w:i w:val="false"/>
          <w:iCs w:val="false"/>
          <w:color w:val="1B2A4A"/>
          <w:sz w:val="22"/>
          <w:szCs w:val="22"/>
        </w:rPr>
        <w:t xml:space="preserve">Part VIII: </w:t>
      </w:r>
      <w:r>
        <w:rPr>
          <w:rFonts w:ascii="Arial" w:cs="Arial" w:eastAsia="Arial" w:hAnsi="Arial"/>
          <w:b w:val="false"/>
          <w:bCs w:val="false"/>
          <w:i w:val="false"/>
          <w:iCs w:val="false"/>
          <w:color w:val="333333"/>
          <w:sz w:val="22"/>
          <w:szCs w:val="22"/>
        </w:rPr>
        <w:t xml:space="preserve">Vector 6 — Lifestyle, Epigenetic &amp; Pre-Symptomatic Shield Protocol</w:t>
      </w:r>
    </w:p>
    <w:p>
      <w:pPr>
        <w:spacing w:after="160" w:line="276"/>
        <w:jc w:val="left"/>
      </w:pPr>
      <w:r>
        <w:rPr>
          <w:rFonts w:ascii="Arial" w:cs="Arial" w:eastAsia="Arial" w:hAnsi="Arial"/>
          <w:b/>
          <w:bCs/>
          <w:i w:val="false"/>
          <w:iCs w:val="false"/>
          <w:color w:val="1B2A4A"/>
          <w:sz w:val="22"/>
          <w:szCs w:val="22"/>
        </w:rPr>
        <w:t xml:space="preserve">Part IX: </w:t>
      </w:r>
      <w:r>
        <w:rPr>
          <w:rFonts w:ascii="Arial" w:cs="Arial" w:eastAsia="Arial" w:hAnsi="Arial"/>
          <w:b w:val="false"/>
          <w:bCs w:val="false"/>
          <w:i w:val="false"/>
          <w:iCs w:val="false"/>
          <w:color w:val="333333"/>
          <w:sz w:val="22"/>
          <w:szCs w:val="22"/>
        </w:rPr>
        <w:t xml:space="preserve">The Integrated Cure Timeline — From Pre-Manifest to Full Remission</w:t>
      </w:r>
    </w:p>
    <w:p>
      <w:pPr>
        <w:spacing w:after="160" w:line="276"/>
        <w:jc w:val="left"/>
      </w:pPr>
      <w:r>
        <w:rPr>
          <w:rFonts w:ascii="Arial" w:cs="Arial" w:eastAsia="Arial" w:hAnsi="Arial"/>
          <w:b/>
          <w:bCs/>
          <w:i w:val="false"/>
          <w:iCs w:val="false"/>
          <w:color w:val="1B2A4A"/>
          <w:sz w:val="22"/>
          <w:szCs w:val="22"/>
        </w:rPr>
        <w:t xml:space="preserve">Part X: </w:t>
      </w:r>
      <w:r>
        <w:rPr>
          <w:rFonts w:ascii="Arial" w:cs="Arial" w:eastAsia="Arial" w:hAnsi="Arial"/>
          <w:b w:val="false"/>
          <w:bCs w:val="false"/>
          <w:i w:val="false"/>
          <w:iCs w:val="false"/>
          <w:color w:val="333333"/>
          <w:sz w:val="22"/>
          <w:szCs w:val="22"/>
        </w:rPr>
        <w:t xml:space="preserve">The Connor Protocol — Personalized Pre-Symptomatic Intervention Framework</w:t>
      </w:r>
    </w:p>
    <w:p>
      <w:pPr>
        <w:spacing w:after="160" w:line="276"/>
        <w:jc w:val="left"/>
      </w:pPr>
      <w:r>
        <w:rPr>
          <w:rFonts w:ascii="Arial" w:cs="Arial" w:eastAsia="Arial" w:hAnsi="Arial"/>
          <w:b/>
          <w:bCs/>
          <w:i w:val="false"/>
          <w:iCs w:val="false"/>
          <w:color w:val="1B2A4A"/>
          <w:sz w:val="22"/>
          <w:szCs w:val="22"/>
        </w:rPr>
        <w:t xml:space="preserve">Part XI: </w:t>
      </w:r>
      <w:r>
        <w:rPr>
          <w:rFonts w:ascii="Arial" w:cs="Arial" w:eastAsia="Arial" w:hAnsi="Arial"/>
          <w:b w:val="false"/>
          <w:bCs w:val="false"/>
          <w:i w:val="false"/>
          <w:iCs w:val="false"/>
          <w:color w:val="333333"/>
          <w:sz w:val="22"/>
          <w:szCs w:val="22"/>
        </w:rPr>
        <w:t xml:space="preserve">Research Roadmap, Partnerships &amp; Funding Strategy</w:t>
      </w:r>
    </w:p>
    <w:p>
      <w:pPr>
        <w:spacing w:after="160" w:line="276"/>
        <w:jc w:val="left"/>
      </w:pPr>
      <w:r>
        <w:rPr>
          <w:rFonts w:ascii="Arial" w:cs="Arial" w:eastAsia="Arial" w:hAnsi="Arial"/>
          <w:b/>
          <w:bCs/>
          <w:i w:val="false"/>
          <w:iCs w:val="false"/>
          <w:color w:val="1B2A4A"/>
          <w:sz w:val="22"/>
          <w:szCs w:val="22"/>
        </w:rPr>
        <w:t xml:space="preserve">Part XII: </w:t>
      </w:r>
      <w:r>
        <w:rPr>
          <w:rFonts w:ascii="Arial" w:cs="Arial" w:eastAsia="Arial" w:hAnsi="Arial"/>
          <w:b w:val="false"/>
          <w:bCs w:val="false"/>
          <w:i w:val="false"/>
          <w:iCs w:val="false"/>
          <w:color w:val="333333"/>
          <w:sz w:val="22"/>
          <w:szCs w:val="22"/>
        </w:rPr>
        <w:t xml:space="preserve">Century of Senn — The Mission to Eradicate HD from the Human Genome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36"/>
          <w:szCs w:val="36"/>
        </w:rPr>
        <w:t xml:space="preserve">PART I: UNDERSTANDING THE ENEMY</w:t>
      </w:r>
    </w:p>
    <w:p>
      <w:pPr>
        <w:pStyle w:val="Heading2"/>
        <w:pBdr>
          <w:bottom w:val="single" w:color="3A7CA5" w:sz="2" w:space="4"/>
        </w:pBdr>
        <w:spacing w:before="300" w:after="150"/>
      </w:pPr>
      <w:r>
        <w:rPr>
          <w:rFonts w:ascii="Arial" w:cs="Arial" w:eastAsia="Arial" w:hAnsi="Arial"/>
          <w:b/>
          <w:bCs/>
          <w:color w:val="2E5090"/>
          <w:sz w:val="28"/>
          <w:szCs w:val="28"/>
        </w:rPr>
        <w:t xml:space="preserve">1.1 — The Huntingtin Gene and the CAG Repeat Expansion</w:t>
      </w:r>
    </w:p>
    <w:p>
      <w:pPr>
        <w:spacing w:after="160" w:line="276"/>
        <w:jc w:val="left"/>
      </w:pPr>
      <w:r>
        <w:rPr>
          <w:rFonts w:ascii="Arial" w:cs="Arial" w:eastAsia="Arial" w:hAnsi="Arial"/>
          <w:b w:val="false"/>
          <w:bCs w:val="false"/>
          <w:i w:val="false"/>
          <w:iCs w:val="false"/>
          <w:color w:val="333333"/>
          <w:sz w:val="22"/>
          <w:szCs w:val="22"/>
        </w:rPr>
        <w:t xml:space="preserve">Huntington’s disease (HD) is a fatal, inherited, autosomal dominant neurodegenerative disorder caused by an expansion of the CAG trinucleotide repeat in exon 1 of the HTT gene on chromosome 4. In unaffected individuals, the CAG repeat typically ranges from 17 to 20 copies. Once the repeat exceeds approximately 36 copies, the risk of developing HD rises dramatically, and 40 or more repeats invariably causes disease.</w:t>
      </w:r>
    </w:p>
    <w:p>
      <w:pPr>
        <w:spacing w:after="160" w:line="276"/>
        <w:jc w:val="left"/>
      </w:pPr>
      <w:r>
        <w:rPr>
          <w:rFonts w:ascii="Arial" w:cs="Arial" w:eastAsia="Arial" w:hAnsi="Arial"/>
          <w:b w:val="false"/>
          <w:bCs w:val="false"/>
          <w:i w:val="false"/>
          <w:iCs w:val="false"/>
          <w:color w:val="333333"/>
          <w:sz w:val="22"/>
          <w:szCs w:val="22"/>
        </w:rPr>
        <w:t xml:space="preserve">The expanded CAG repeat encodes an abnormally long polyglutamine (polyQ) tract in the huntingtin protein. This elongated protein misfolds, forms toxic aggregates, and triggers a cascade of cellular dysfunction that primarily destroys medium spiny neurons (MSNs) in the striatum—the caudate nucleus and putamen—and subsequently damages cortical pyramidal neurons.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CA5" w:sz="1"/>
              <w:left w:val="single" w:color="3A7CA5" w:sz="6"/>
              <w:bottom w:val="single" w:color="3A7CA5" w:sz="1"/>
              <w:right w:val="single" w:color="3A7CA5" w:sz="1"/>
            </w:tcBorders>
            <w:shd w:fill="EDF3F8" w:val="clear"/>
            <w:tcMar>
              <w:top w:type="dxa" w:w="120"/>
              <w:left w:type="dxa" w:w="200"/>
              <w:bottom w:type="dxa" w:w="120"/>
              <w:right w:type="dxa" w:w="200"/>
            </w:tcMar>
          </w:tcPr>
          <w:p>
            <w:pPr>
              <w:spacing w:after="80"/>
            </w:pPr>
            <w:r>
              <w:rPr>
                <w:rFonts w:ascii="Arial" w:cs="Arial" w:eastAsia="Arial" w:hAnsi="Arial"/>
                <w:b/>
                <w:bCs/>
                <w:color w:val="3A7CA5"/>
                <w:sz w:val="22"/>
                <w:szCs w:val="22"/>
              </w:rPr>
              <w:t xml:space="preserve">CRITICAL INSIGHT: The Two-Stage Model of HD Pathogenesis</w:t>
            </w:r>
          </w:p>
          <w:p>
            <w:pPr>
              <w:spacing w:after="0"/>
            </w:pPr>
            <w:r>
              <w:rPr>
                <w:rFonts w:ascii="Arial" w:cs="Arial" w:eastAsia="Arial" w:hAnsi="Arial"/>
                <w:i/>
                <w:iCs/>
                <w:color w:val="444444"/>
                <w:sz w:val="20"/>
                <w:szCs w:val="20"/>
              </w:rPr>
              <w:t xml:space="preserve">Current scientific consensus (Tabrizi et al., 2025, Nature Reviews Neurology) has converged on a two-stage model: (1) Somatic CAG repeat expansion in neurons drives the inherited repeat from ~40 copies to 100–500+ copies over decades. (2) Once a critical threshold is crossed (~150+ repeats in striatal neurons), the mutant huntingtin protein becomes acutely toxic, triggering transcriptional dysregulation, aggregate formation, and neuronal death. This means the disease is not simply a consequence of having the mutation—it is actively driven at the DNA level by somatic expansion throughout life.</w:t>
            </w:r>
          </w:p>
        </w:tc>
      </w:tr>
    </w:tbl>
    <w:p>
      <w:pPr>
        <w:spacing w:before="100" w:after="0"/>
      </w:pPr>
    </w:p>
    <w:p>
      <w:pPr>
        <w:pStyle w:val="Heading2"/>
        <w:pBdr>
          <w:bottom w:val="single" w:color="3A7CA5" w:sz="2" w:space="4"/>
        </w:pBdr>
        <w:spacing w:before="300" w:after="150"/>
      </w:pPr>
      <w:r>
        <w:rPr>
          <w:rFonts w:ascii="Arial" w:cs="Arial" w:eastAsia="Arial" w:hAnsi="Arial"/>
          <w:b/>
          <w:bCs/>
          <w:color w:val="2E5090"/>
          <w:sz w:val="28"/>
          <w:szCs w:val="28"/>
        </w:rPr>
        <w:t xml:space="preserve">1.2 — The Somatic Expansion Revolution</w:t>
      </w:r>
    </w:p>
    <w:p>
      <w:pPr>
        <w:spacing w:after="160" w:line="276"/>
        <w:jc w:val="left"/>
      </w:pPr>
      <w:r>
        <w:rPr>
          <w:rFonts w:ascii="Arial" w:cs="Arial" w:eastAsia="Arial" w:hAnsi="Arial"/>
          <w:b w:val="false"/>
          <w:bCs w:val="false"/>
          <w:i w:val="false"/>
          <w:iCs w:val="false"/>
          <w:color w:val="333333"/>
          <w:sz w:val="22"/>
          <w:szCs w:val="22"/>
        </w:rPr>
        <w:t xml:space="preserve">The most transformative discovery in HD research in the past decade is the role of somatic CAG repeat expansion. Genome-wide association studies (GWAS) identified that the strongest genetic modifiers of HD age-of-onset are not located in the HTT gene itself, but rather in DNA mismatch repair (MMR) pathway genes: MSH3, PMS1, MLH1, FAN1, PMS2, and LIG1.</w:t>
      </w:r>
    </w:p>
    <w:p>
      <w:pPr>
        <w:spacing w:after="160" w:line="276"/>
        <w:jc w:val="left"/>
      </w:pPr>
      <w:r>
        <w:rPr>
          <w:rFonts w:ascii="Arial" w:cs="Arial" w:eastAsia="Arial" w:hAnsi="Arial"/>
          <w:b w:val="false"/>
          <w:bCs w:val="false"/>
          <w:i w:val="false"/>
          <w:iCs w:val="false"/>
          <w:color w:val="333333"/>
          <w:sz w:val="22"/>
          <w:szCs w:val="22"/>
        </w:rPr>
        <w:t xml:space="preserve">The mechanism works as follows: In their attempt to repair the abnormal DNA structures (slip-outs and loops) formed by the expanded CAG repeats, mismatch repair proteins—particularly the MutSβ complex (MSH2-MSH3)—inadvertently expand the repeat tract further. Each attempted repair adds more CAG copies. Over decades, this drives striatal MSN repeats from an inherited length of ~40–50 to pathogenic lengths of 100–500+.</w:t>
      </w:r>
    </w:p>
    <w:p>
      <w:pPr>
        <w:spacing w:after="160" w:line="276"/>
        <w:jc w:val="left"/>
      </w:pPr>
      <w:r>
        <w:rPr>
          <w:rFonts w:ascii="Arial" w:cs="Arial" w:eastAsia="Arial" w:hAnsi="Arial"/>
          <w:b/>
          <w:bCs/>
          <w:i w:val="false"/>
          <w:iCs w:val="false"/>
          <w:color w:val="333333"/>
          <w:sz w:val="22"/>
          <w:szCs w:val="22"/>
        </w:rPr>
        <w:t xml:space="preserve">Key finding from Handsaker et al. (2025): </w:t>
      </w:r>
      <w:r>
        <w:rPr>
          <w:rFonts w:ascii="Arial" w:cs="Arial" w:eastAsia="Arial" w:hAnsi="Arial"/>
          <w:b w:val="false"/>
          <w:bCs w:val="false"/>
          <w:i w:val="false"/>
          <w:iCs w:val="false"/>
          <w:color w:val="333333"/>
          <w:sz w:val="22"/>
          <w:szCs w:val="22"/>
        </w:rPr>
        <w:t xml:space="preserve">Using single-cell HTT-CAG and RNA sequencing of human HD brains, researchers demonstrated that individual striatal projection neurons undergo massive somatic expansion, accumulating repeats into the hundreds. The neurons with the longest repeats show the most severe transcriptional dysregulation and are the first to degenerate.</w:t>
      </w:r>
    </w:p>
    <w:p>
      <w:pPr>
        <w:spacing w:after="160" w:line="276"/>
        <w:jc w:val="left"/>
      </w:pPr>
      <w:r>
        <w:rPr>
          <w:rFonts w:ascii="Arial" w:cs="Arial" w:eastAsia="Arial" w:hAnsi="Arial"/>
          <w:b/>
          <w:bCs/>
          <w:i w:val="false"/>
          <w:iCs w:val="false"/>
          <w:color w:val="333333"/>
          <w:sz w:val="22"/>
          <w:szCs w:val="22"/>
        </w:rPr>
        <w:t xml:space="preserve">Key finding from Wang et al. (Cell, 2025): </w:t>
      </w:r>
      <w:r>
        <w:rPr>
          <w:rFonts w:ascii="Arial" w:cs="Arial" w:eastAsia="Arial" w:hAnsi="Arial"/>
          <w:b w:val="false"/>
          <w:bCs w:val="false"/>
          <w:i w:val="false"/>
          <w:iCs w:val="false"/>
          <w:color w:val="333333"/>
          <w:sz w:val="22"/>
          <w:szCs w:val="22"/>
        </w:rPr>
        <w:t xml:space="preserve">Genetic ablation of Msh3 and Pms1 in HD mouse models strongly rescued neuronal pathology by preventing somatic expansion, confirming these genes as true genetic drivers of the disease—not merely modifiers. Msh3 and Pms1 set the rate of somatic CAG expansion in the most vulnerable neurons.</w:t>
      </w:r>
    </w:p>
    <w:p>
      <w:pPr>
        <w:spacing w:before="100" w:after="0"/>
      </w:pPr>
    </w:p>
    <w:p>
      <w:pPr>
        <w:pStyle w:val="Heading2"/>
        <w:pBdr>
          <w:bottom w:val="single" w:color="3A7CA5" w:sz="2" w:space="4"/>
        </w:pBdr>
        <w:spacing w:before="300" w:after="150"/>
      </w:pPr>
      <w:r>
        <w:rPr>
          <w:rFonts w:ascii="Arial" w:cs="Arial" w:eastAsia="Arial" w:hAnsi="Arial"/>
          <w:b/>
          <w:bCs/>
          <w:color w:val="2E5090"/>
          <w:sz w:val="28"/>
          <w:szCs w:val="28"/>
        </w:rPr>
        <w:t xml:space="preserve">1.3 — The Cascade of Destruction</w:t>
      </w:r>
    </w:p>
    <w:p>
      <w:pPr>
        <w:pStyle w:val="Heading3"/>
        <w:spacing w:before="240" w:after="120"/>
      </w:pPr>
      <w:r>
        <w:rPr>
          <w:rFonts w:ascii="Arial" w:cs="Arial" w:eastAsia="Arial" w:hAnsi="Arial"/>
          <w:b/>
          <w:bCs/>
          <w:color w:val="3A7CA5"/>
          <w:sz w:val="24"/>
          <w:szCs w:val="24"/>
        </w:rPr>
        <w:t xml:space="preserve">1.3.1 — Molecular Level</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Transcriptional Dysregulation: </w:t>
      </w:r>
      <w:r>
        <w:rPr>
          <w:rFonts w:ascii="Arial" w:cs="Arial" w:eastAsia="Arial" w:hAnsi="Arial"/>
          <w:b w:val="false"/>
          <w:bCs w:val="false"/>
          <w:i w:val="false"/>
          <w:iCs w:val="false"/>
          <w:color w:val="333333"/>
          <w:sz w:val="22"/>
          <w:szCs w:val="22"/>
        </w:rPr>
        <w:t xml:space="preserve">Mutant huntingtin disrupts normal gene expression in MSNs, silencing genes critical for neuronal survival and function.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Protein Aggregation: </w:t>
      </w:r>
      <w:r>
        <w:rPr>
          <w:rFonts w:ascii="Arial" w:cs="Arial" w:eastAsia="Arial" w:hAnsi="Arial"/>
          <w:b w:val="false"/>
          <w:bCs w:val="false"/>
          <w:i w:val="false"/>
          <w:iCs w:val="false"/>
          <w:color w:val="333333"/>
          <w:sz w:val="22"/>
          <w:szCs w:val="22"/>
        </w:rPr>
        <w:t xml:space="preserve">Misfolded mHTT forms intranuclear inclusions (NIs) and neuropil aggregates (NAs) that sequester essential cellular proteins.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Mitochondrial Dysfunction: </w:t>
      </w:r>
      <w:r>
        <w:rPr>
          <w:rFonts w:ascii="Arial" w:cs="Arial" w:eastAsia="Arial" w:hAnsi="Arial"/>
          <w:b w:val="false"/>
          <w:bCs w:val="false"/>
          <w:i w:val="false"/>
          <w:iCs w:val="false"/>
          <w:color w:val="333333"/>
          <w:sz w:val="22"/>
          <w:szCs w:val="22"/>
        </w:rPr>
        <w:t xml:space="preserve">mHTT impairs mitochondrial transport, reduces ATP production, and increases oxidative stress.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BDNF Transport Failure: </w:t>
      </w:r>
      <w:r>
        <w:rPr>
          <w:rFonts w:ascii="Arial" w:cs="Arial" w:eastAsia="Arial" w:hAnsi="Arial"/>
          <w:b w:val="false"/>
          <w:bCs w:val="false"/>
          <w:i w:val="false"/>
          <w:iCs w:val="false"/>
          <w:color w:val="333333"/>
          <w:sz w:val="22"/>
          <w:szCs w:val="22"/>
        </w:rPr>
        <w:t xml:space="preserve">Brain-derived neurotrophic factor transport from cortex to striatum is progressively impaired, starving MSNs of survival signals.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Excitotoxicity: </w:t>
      </w:r>
      <w:r>
        <w:rPr>
          <w:rFonts w:ascii="Arial" w:cs="Arial" w:eastAsia="Arial" w:hAnsi="Arial"/>
          <w:b w:val="false"/>
          <w:bCs w:val="false"/>
          <w:i w:val="false"/>
          <w:iCs w:val="false"/>
          <w:color w:val="333333"/>
          <w:sz w:val="22"/>
          <w:szCs w:val="22"/>
        </w:rPr>
        <w:t xml:space="preserve">Dysregulated glutamate signaling leads to calcium overload and neuronal death.</w:t>
      </w:r>
    </w:p>
    <w:p>
      <w:pPr>
        <w:pStyle w:val="Heading3"/>
        <w:spacing w:before="240" w:after="120"/>
      </w:pPr>
      <w:r>
        <w:rPr>
          <w:rFonts w:ascii="Arial" w:cs="Arial" w:eastAsia="Arial" w:hAnsi="Arial"/>
          <w:b/>
          <w:bCs/>
          <w:color w:val="3A7CA5"/>
          <w:sz w:val="24"/>
          <w:szCs w:val="24"/>
        </w:rPr>
        <w:t xml:space="preserve">1.3.2 — Cellular Level</w:t>
      </w:r>
    </w:p>
    <w:p>
      <w:pPr>
        <w:spacing w:after="160" w:line="276"/>
        <w:jc w:val="left"/>
      </w:pPr>
      <w:r>
        <w:rPr>
          <w:rFonts w:ascii="Arial" w:cs="Arial" w:eastAsia="Arial" w:hAnsi="Arial"/>
          <w:b w:val="false"/>
          <w:bCs w:val="false"/>
          <w:i w:val="false"/>
          <w:iCs w:val="false"/>
          <w:color w:val="333333"/>
          <w:sz w:val="22"/>
          <w:szCs w:val="22"/>
        </w:rPr>
        <w:t xml:space="preserve">The medium spiny neurons of the striatum express particularly high levels of MSH3, making them uniquely vulnerable to somatic expansion. Recent epigenetic profiling (Berretta et al., 2025, bioRxiv) revealed that MSNs harbor species-specific enhancer elements in MSH3 that are absent in mice—explaining why mouse models underestimate the human disease trajectory and why MSNs are selectively destroyed.</w:t>
      </w:r>
    </w:p>
    <w:p>
      <w:pPr>
        <w:pStyle w:val="Heading3"/>
        <w:spacing w:before="240" w:after="120"/>
      </w:pPr>
      <w:r>
        <w:rPr>
          <w:rFonts w:ascii="Arial" w:cs="Arial" w:eastAsia="Arial" w:hAnsi="Arial"/>
          <w:b/>
          <w:bCs/>
          <w:color w:val="3A7CA5"/>
          <w:sz w:val="24"/>
          <w:szCs w:val="24"/>
        </w:rPr>
        <w:t xml:space="preserve">1.3.3 — Clinical Progression</w:t>
      </w:r>
    </w:p>
    <w:p>
      <w:pPr>
        <w:spacing w:after="160" w:line="276"/>
        <w:jc w:val="left"/>
      </w:pPr>
      <w:r>
        <w:rPr>
          <w:rFonts w:ascii="Arial" w:cs="Arial" w:eastAsia="Arial" w:hAnsi="Arial"/>
          <w:b w:val="false"/>
          <w:bCs w:val="false"/>
          <w:i w:val="false"/>
          <w:iCs w:val="false"/>
          <w:color w:val="333333"/>
          <w:sz w:val="22"/>
          <w:szCs w:val="22"/>
        </w:rPr>
        <w:t xml:space="preserve">HD typically manifests in the 30s–40s with a triad of motor symptoms (chorea, dystonia, bradykinesia), cognitive decline (executive dysfunction, dementia), and psychiatric disturbances (depression, irritability, apathy). The disease progresses relentlessly over 10–20 years. Juvenile-onset HD (caused by very long repeats of 60+) can manifest in childhood and progresses faster. Connor’s mother died at age 29—indicating she likely carried a long CAG expansion in the juvenile/young adult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EDF3F8"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SIGNIFICANCE FOR CONNOR</w:t>
            </w:r>
          </w:p>
          <w:p>
            <w:pPr>
              <w:spacing w:after="0"/>
            </w:pPr>
            <w:r>
              <w:rPr>
                <w:rFonts w:ascii="Arial" w:cs="Arial" w:eastAsia="Arial" w:hAnsi="Arial"/>
                <w:i/>
                <w:iCs/>
                <w:color w:val="444444"/>
                <w:sz w:val="20"/>
                <w:szCs w:val="20"/>
              </w:rPr>
              <w:t xml:space="preserve">If Connor inherited the expanded HTT allele, the fact that his mother had onset in her late teens/early twenties and died at 29 suggests she carried a very long CAG repeat (likely 55–70+). Due to anticipation—the phenomenon where CAG repeats expand across generations, particularly through paternal transmission—Connor’s repeat could be equal to or longer than his mother’s. This makes early intervention not just beneficial but potentially life-saving. Every year of pre-symptomatic intervention counts.</w:t>
            </w:r>
          </w:p>
        </w:tc>
      </w:tr>
    </w:tbl>
    <w:p>
      <w:r>
        <w:br w:type="page"/>
      </w:r>
    </w:p>
    <w:p>
      <w:pPr>
        <w:pStyle w:val="Heading1"/>
        <w:spacing w:before="400" w:after="200"/>
      </w:pPr>
      <w:r>
        <w:rPr>
          <w:rFonts w:ascii="Arial" w:cs="Arial" w:eastAsia="Arial" w:hAnsi="Arial"/>
          <w:b/>
          <w:bCs/>
          <w:color w:val="1B2A4A"/>
          <w:sz w:val="36"/>
          <w:szCs w:val="36"/>
        </w:rPr>
        <w:t xml:space="preserve">PART II: THE SIX-VECTOR CURE STRATEGY</w:t>
      </w:r>
    </w:p>
    <w:p>
      <w:pPr>
        <w:spacing w:after="160" w:line="276"/>
        <w:jc w:val="left"/>
      </w:pPr>
      <w:r>
        <w:rPr>
          <w:rFonts w:ascii="Arial" w:cs="Arial" w:eastAsia="Arial" w:hAnsi="Arial"/>
          <w:b w:val="false"/>
          <w:bCs w:val="false"/>
          <w:i w:val="false"/>
          <w:iCs w:val="false"/>
          <w:color w:val="333333"/>
          <w:sz w:val="22"/>
          <w:szCs w:val="22"/>
        </w:rPr>
        <w:t xml:space="preserve">No single approach will cure Huntington’s disease. The pathology is multi-layered—operating at the DNA level, the RNA level, the protein level, and the cellular ecosystem level. A true cure requires a coordinated multi-vector assault. The Senn Protocol identifies six orthogonal therapeutic vectors that, deployed in combination and sequence, can achieve what no single therapy can: complete functional arrest and reversal of Huntington’s disease.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VECTOR</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 / STATUS</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1</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Gene Silencing</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RNA interference via AAV5-delivered miRNA degrades HTT mRNA, reducing toxic protein production by 75–92%</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AMT-130 (uniQure): BLA filing Q1 2026. 75% slowing of progression at 36 months.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Somatic Expansion Prevention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Silence MSH3 to halt the DNA mismatch repair machinery from expanding CAG repeats in neurons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ASOs by Tabrizi/UCL. LoQus23 oral small molecule. Harness Therapeutics FAN1 enhancer. All preclinical.</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3</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Allele-Selective Gene Editing</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CRISPR/Cas9 or Cas13d to permanently disable or correct only the mutant HTT allele at the DNA or RNA level</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LETI-101 (Life Edit): CRISPR editing with MHRA alignment. Incisive Genetics: SNP-targeted CRISPR. Preclinical.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Protein Degradation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Targeted degradation of existing mHTT protein aggregates via PROTACs, autophagy enhancers, or antibody-based clearing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Annexon ANX005 (anti-C1q antibody). Multiple preclinical programs. 2026–2030 timeline.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5</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2A4A"/>
                <w:sz w:val="18"/>
                <w:szCs w:val="18"/>
              </w:rPr>
              <w:t xml:space="preserve">Neuroprotection &amp; Restoration</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Protect surviving neurons and restore lost function via BDNF enhancement, stem cell therapy, and neural interface technology</w:t>
            </w:r>
          </w:p>
        </w:tc>
        <w:tc>
          <w:tcPr>
            <w:tcW w:type="dxa" w:w="328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444444"/>
                <w:sz w:val="18"/>
                <w:szCs w:val="18"/>
              </w:rPr>
              <w:t xml:space="preserve">HX127 (Huntx): oral BDNF transport restorer. Stem cell therapies in early trials. Neural interfaces 2030+.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Lifestyle Shield Protocol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Pre-symptomatic interventions: exercise, nutrition, stress management, cognitive training, and pharmacological neuroprotection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Immediately deployable. PREDICT-HD data supports 10–20 year onset delay with optimal lifestyle.</w:t>
            </w:r>
          </w:p>
        </w:tc>
      </w:tr>
    </w:tbl>
    <w:p>
      <w:pPr>
        <w:spacing w:before="100" w:after="0"/>
      </w:pPr>
    </w:p>
    <w:p>
      <w:pPr>
        <w:spacing w:after="160" w:line="276"/>
        <w:jc w:val="left"/>
      </w:pPr>
      <w:r>
        <w:rPr>
          <w:rFonts w:ascii="Arial" w:cs="Arial" w:eastAsia="Arial" w:hAnsi="Arial"/>
          <w:b/>
          <w:bCs/>
          <w:i w:val="false"/>
          <w:iCs w:val="false"/>
          <w:color w:val="1B2A4A"/>
          <w:sz w:val="22"/>
          <w:szCs w:val="22"/>
        </w:rPr>
        <w:t xml:space="preserve">The principle: </w:t>
      </w:r>
      <w:r>
        <w:rPr>
          <w:rFonts w:ascii="Arial" w:cs="Arial" w:eastAsia="Arial" w:hAnsi="Arial"/>
          <w:b w:val="false"/>
          <w:bCs w:val="false"/>
          <w:i w:val="false"/>
          <w:iCs w:val="false"/>
          <w:color w:val="333333"/>
          <w:sz w:val="22"/>
          <w:szCs w:val="22"/>
        </w:rPr>
        <w:t xml:space="preserve">Vectors 1–3 address the ROOT CAUSE (genetic). Vector 4 addresses EXISTING DAMAGE (protein). Vectors 5–6 provide DEFENSE and RECOVERY (cellular/systemic). Deployed together, they create a multi-layered shield that attacks HD at every level of its pathogenesis.</w:t>
      </w:r>
    </w:p>
    <w:p>
      <w:r>
        <w:br w:type="page"/>
      </w:r>
    </w:p>
    <w:p>
      <w:pPr>
        <w:pStyle w:val="Heading1"/>
        <w:spacing w:before="400" w:after="200"/>
      </w:pPr>
      <w:r>
        <w:rPr>
          <w:rFonts w:ascii="Arial" w:cs="Arial" w:eastAsia="Arial" w:hAnsi="Arial"/>
          <w:b/>
          <w:bCs/>
          <w:color w:val="1B2A4A"/>
          <w:sz w:val="36"/>
          <w:szCs w:val="36"/>
        </w:rPr>
        <w:t xml:space="preserve">PART III: VECTOR 1 — Gene Silencing via RNA Interference</w:t>
      </w:r>
    </w:p>
    <w:p>
      <w:pPr>
        <w:pStyle w:val="Heading2"/>
        <w:pBdr>
          <w:bottom w:val="single" w:color="3A7CA5" w:sz="2" w:space="4"/>
        </w:pBdr>
        <w:spacing w:before="300" w:after="150"/>
      </w:pPr>
      <w:r>
        <w:rPr>
          <w:rFonts w:ascii="Arial" w:cs="Arial" w:eastAsia="Arial" w:hAnsi="Arial"/>
          <w:b/>
          <w:bCs/>
          <w:color w:val="2E5090"/>
          <w:sz w:val="28"/>
          <w:szCs w:val="28"/>
        </w:rPr>
        <w:t xml:space="preserve">3.1 — The AMT-130 Paradigm: Proof That HD Can Be Slowed</w:t>
      </w:r>
    </w:p>
    <w:p>
      <w:pPr>
        <w:spacing w:after="160" w:line="276"/>
        <w:jc w:val="left"/>
      </w:pPr>
      <w:r>
        <w:rPr>
          <w:rFonts w:ascii="Arial" w:cs="Arial" w:eastAsia="Arial" w:hAnsi="Arial"/>
          <w:b w:val="false"/>
          <w:bCs w:val="false"/>
          <w:i w:val="false"/>
          <w:iCs w:val="false"/>
          <w:color w:val="333333"/>
          <w:sz w:val="22"/>
          <w:szCs w:val="22"/>
        </w:rPr>
        <w:t xml:space="preserve">On September 24, 2025, uniQure announced the most significant result in HD therapeutic history: AMT-130, a one-time gene therapy, demonstrated a statistically significant 75% slowing of disease progression at 36 months in the high-dose group (p=0.003 on cUHDRS, p=0.033 on TFC). This is the first genetically-targeted therapy to show positive results in a pivotal HD trial.</w:t>
      </w:r>
    </w:p>
    <w:p>
      <w:pPr>
        <w:pStyle w:val="Heading3"/>
        <w:spacing w:before="240" w:after="120"/>
      </w:pPr>
      <w:r>
        <w:rPr>
          <w:rFonts w:ascii="Arial" w:cs="Arial" w:eastAsia="Arial" w:hAnsi="Arial"/>
          <w:b/>
          <w:bCs/>
          <w:color w:val="3A7CA5"/>
          <w:sz w:val="24"/>
          <w:szCs w:val="24"/>
        </w:rPr>
        <w:t xml:space="preserve">3.1.1 — Mechanism of Action (Detailed)</w:t>
      </w:r>
    </w:p>
    <w:p>
      <w:pPr>
        <w:spacing w:after="160" w:line="276"/>
        <w:jc w:val="left"/>
      </w:pPr>
      <w:r>
        <w:rPr>
          <w:rFonts w:ascii="Arial" w:cs="Arial" w:eastAsia="Arial" w:hAnsi="Arial"/>
          <w:b w:val="false"/>
          <w:bCs w:val="false"/>
          <w:i w:val="false"/>
          <w:iCs w:val="false"/>
          <w:color w:val="333333"/>
          <w:sz w:val="22"/>
          <w:szCs w:val="22"/>
        </w:rPr>
        <w:t xml:space="preserve">AMT-130 operates through a six-step molecular cascade: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1 — Delivery: </w:t>
      </w:r>
      <w:r>
        <w:rPr>
          <w:rFonts w:ascii="Arial" w:cs="Arial" w:eastAsia="Arial" w:hAnsi="Arial"/>
          <w:b w:val="false"/>
          <w:bCs w:val="false"/>
          <w:i w:val="false"/>
          <w:iCs w:val="false"/>
          <w:color w:val="333333"/>
          <w:sz w:val="22"/>
          <w:szCs w:val="22"/>
        </w:rPr>
        <w:t xml:space="preserve">An adeno-associated virus serotype 5 (AAV5) vector is administered via MRI-guided stereotactic convection-enhanced delivery directly into the caudate nucleus and putamen bilaterally. AAV5 was chosen for its superior neuronal tropism and ability to undergo both anterograde and retrograde axonal transport, enabling broad brain coverage from focal injection sites.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2 — Transgene Integration: </w:t>
      </w:r>
      <w:r>
        <w:rPr>
          <w:rFonts w:ascii="Arial" w:cs="Arial" w:eastAsia="Arial" w:hAnsi="Arial"/>
          <w:b w:val="false"/>
          <w:bCs w:val="false"/>
          <w:i w:val="false"/>
          <w:iCs w:val="false"/>
          <w:color w:val="333333"/>
          <w:sz w:val="22"/>
          <w:szCs w:val="22"/>
        </w:rPr>
        <w:t xml:space="preserve">Once internalized by neurons, the AAV5 capsid is transported to the nucleus where it degrades, uncoating the miHTT transgene. The transgene remains episomal (does not integrate into host DNA), providing stable, long-term expression without insertional mutagenesis risk.</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3 — miRNA Expression: </w:t>
      </w:r>
      <w:r>
        <w:rPr>
          <w:rFonts w:ascii="Arial" w:cs="Arial" w:eastAsia="Arial" w:hAnsi="Arial"/>
          <w:b w:val="false"/>
          <w:bCs w:val="false"/>
          <w:i w:val="false"/>
          <w:iCs w:val="false"/>
          <w:color w:val="333333"/>
          <w:sz w:val="22"/>
          <w:szCs w:val="22"/>
        </w:rPr>
        <w:t xml:space="preserve">Proprietary DNA promoters drive transcription of an artificial microRNA (miRNA) specifically engineered to target human HTT mRNA. The miRNA is processed through the cell’s endogenous RNA interference (RNAi) machinery.</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4 — Cytoplasmic Processing: </w:t>
      </w:r>
      <w:r>
        <w:rPr>
          <w:rFonts w:ascii="Arial" w:cs="Arial" w:eastAsia="Arial" w:hAnsi="Arial"/>
          <w:b w:val="false"/>
          <w:bCs w:val="false"/>
          <w:i w:val="false"/>
          <w:iCs w:val="false"/>
          <w:color w:val="333333"/>
          <w:sz w:val="22"/>
          <w:szCs w:val="22"/>
        </w:rPr>
        <w:t xml:space="preserve">The hairpin-structured precursor miRNA is exported to the cytoplasm and further processed by Dicer into the mature miHTT guide strand.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5 — Target Recognition: </w:t>
      </w:r>
      <w:r>
        <w:rPr>
          <w:rFonts w:ascii="Arial" w:cs="Arial" w:eastAsia="Arial" w:hAnsi="Arial"/>
          <w:b w:val="false"/>
          <w:bCs w:val="false"/>
          <w:i w:val="false"/>
          <w:iCs w:val="false"/>
          <w:color w:val="333333"/>
          <w:sz w:val="22"/>
          <w:szCs w:val="22"/>
        </w:rPr>
        <w:t xml:space="preserve">The mature miHTT binds to complementary sequences on HTT messenger RNA. The RNA duplex is recognized and loaded into the RNA-Induced Silencing Complex (RISC).</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Step 6 — mRNA Degradation: </w:t>
      </w:r>
      <w:r>
        <w:rPr>
          <w:rFonts w:ascii="Arial" w:cs="Arial" w:eastAsia="Arial" w:hAnsi="Arial"/>
          <w:b w:val="false"/>
          <w:bCs w:val="false"/>
          <w:i w:val="false"/>
          <w:iCs w:val="false"/>
          <w:color w:val="333333"/>
          <w:sz w:val="22"/>
          <w:szCs w:val="22"/>
        </w:rPr>
        <w:t xml:space="preserve">RISC cleaves the HTT mRNA, preventing its translation into huntingtin protein. This non-selectively lowers both mutant and wild-type huntingtin production.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DF3F8"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PRECLINICAL POTENCY</w:t>
            </w:r>
          </w:p>
          <w:p>
            <w:pPr>
              <w:spacing w:after="0"/>
            </w:pPr>
            <w:r>
              <w:rPr>
                <w:rFonts w:ascii="Arial" w:cs="Arial" w:eastAsia="Arial" w:hAnsi="Arial"/>
                <w:i/>
                <w:iCs/>
                <w:color w:val="444444"/>
                <w:sz w:val="20"/>
                <w:szCs w:val="20"/>
              </w:rPr>
              <w:t xml:space="preserve">In the Hu128/21 humanized mouse model, a single injection of AAV5-miHTT achieved dose-dependent HTT suppression: 92% reduction in the striatum and 64% in the frontal cortex at 7 months. In HD minipigs, 12-month data showed 85% lowering in putamen, 80% in caudate, 78% in amygdala, 56% in thalamus, and 44% in cortex. The miQURE platform also enables secondary exosome-mediated delivery, extending silencing beyond directly transduced neurons.</w:t>
            </w:r>
          </w:p>
        </w:tc>
      </w:tr>
    </w:tbl>
    <w:p>
      <w:pPr>
        <w:spacing w:before="100" w:after="0"/>
      </w:pPr>
    </w:p>
    <w:p>
      <w:pPr>
        <w:pStyle w:val="Heading3"/>
        <w:spacing w:before="240" w:after="120"/>
      </w:pPr>
      <w:r>
        <w:rPr>
          <w:rFonts w:ascii="Arial" w:cs="Arial" w:eastAsia="Arial" w:hAnsi="Arial"/>
          <w:b/>
          <w:bCs/>
          <w:color w:val="3A7CA5"/>
          <w:sz w:val="24"/>
          <w:szCs w:val="24"/>
        </w:rPr>
        <w:t xml:space="preserve">3.1.2 — Clinical Trial Results</w:t>
      </w:r>
    </w:p>
    <w:p>
      <w:pPr>
        <w:spacing w:after="160" w:line="276"/>
        <w:jc w:val="left"/>
      </w:pPr>
      <w:r>
        <w:rPr>
          <w:rFonts w:ascii="Arial" w:cs="Arial" w:eastAsia="Arial" w:hAnsi="Arial"/>
          <w:b w:val="false"/>
          <w:bCs w:val="false"/>
          <w:i w:val="false"/>
          <w:iCs w:val="false"/>
          <w:color w:val="333333"/>
          <w:sz w:val="22"/>
          <w:szCs w:val="22"/>
        </w:rPr>
        <w:t xml:space="preserve">The Phase I/II trial enrolled 39 patients across US and European sites in low-dose and high-dose cohorts. Key results from the September 2025 topline data (36-month follow-up, high-dose group vs. propensity-matched ENROLL-HD external controls):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Primary Endpoint (cUHDRS): </w:t>
      </w:r>
      <w:r>
        <w:rPr>
          <w:rFonts w:ascii="Arial" w:cs="Arial" w:eastAsia="Arial" w:hAnsi="Arial"/>
          <w:b w:val="false"/>
          <w:bCs w:val="false"/>
          <w:i w:val="false"/>
          <w:iCs w:val="false"/>
          <w:color w:val="333333"/>
          <w:sz w:val="22"/>
          <w:szCs w:val="22"/>
        </w:rPr>
        <w:t xml:space="preserve">75.3% slowing of disease progression. Treated patients showed a mean change of -0.38 vs. -1.52 in controls (p=0.003).</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Key Secondary (TFC): </w:t>
      </w:r>
      <w:r>
        <w:rPr>
          <w:rFonts w:ascii="Arial" w:cs="Arial" w:eastAsia="Arial" w:hAnsi="Arial"/>
          <w:b w:val="false"/>
          <w:bCs w:val="false"/>
          <w:i w:val="false"/>
          <w:iCs w:val="false"/>
          <w:color w:val="333333"/>
          <w:sz w:val="22"/>
          <w:szCs w:val="22"/>
        </w:rPr>
        <w:t xml:space="preserve">60% slowing of functional decline. Mean change -0.36 vs. -0.88 (p=0.033).</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Biomarker (NfL): </w:t>
      </w:r>
      <w:r>
        <w:rPr>
          <w:rFonts w:ascii="Arial" w:cs="Arial" w:eastAsia="Arial" w:hAnsi="Arial"/>
          <w:b w:val="false"/>
          <w:bCs w:val="false"/>
          <w:i w:val="false"/>
          <w:iCs w:val="false"/>
          <w:color w:val="333333"/>
          <w:sz w:val="22"/>
          <w:szCs w:val="22"/>
        </w:rPr>
        <w:t xml:space="preserve">CSF neurofilament light chain decreased 8.2%, suggesting reduced neurodegeneration. NfL normally rises continuously in HD.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Safety: </w:t>
      </w:r>
      <w:r>
        <w:rPr>
          <w:rFonts w:ascii="Arial" w:cs="Arial" w:eastAsia="Arial" w:hAnsi="Arial"/>
          <w:b w:val="false"/>
          <w:bCs w:val="false"/>
          <w:i w:val="false"/>
          <w:iCs w:val="false"/>
          <w:color w:val="333333"/>
          <w:sz w:val="22"/>
          <w:szCs w:val="22"/>
        </w:rPr>
        <w:t xml:space="preserve">Generally well-tolerated. No new drug-related serious adverse events since December 2022. Most common events were procedure-related and resolved.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Regulatory Path: </w:t>
      </w:r>
      <w:r>
        <w:rPr>
          <w:rFonts w:ascii="Arial" w:cs="Arial" w:eastAsia="Arial" w:hAnsi="Arial"/>
          <w:b w:val="false"/>
          <w:bCs w:val="false"/>
          <w:i w:val="false"/>
          <w:iCs w:val="false"/>
          <w:color w:val="333333"/>
          <w:sz w:val="22"/>
          <w:szCs w:val="22"/>
        </w:rPr>
        <w:t xml:space="preserve">FDA granted Breakthrough Therapy designation (April 2025) and RMAT designation (2024). BLA filing planned Q1 2026. Potential FDA approval by late 2026.</w:t>
      </w:r>
    </w:p>
    <w:p>
      <w:pPr>
        <w:pStyle w:val="Heading3"/>
        <w:spacing w:before="240" w:after="120"/>
      </w:pPr>
      <w:r>
        <w:rPr>
          <w:rFonts w:ascii="Arial" w:cs="Arial" w:eastAsia="Arial" w:hAnsi="Arial"/>
          <w:b/>
          <w:bCs/>
          <w:color w:val="3A7CA5"/>
          <w:sz w:val="24"/>
          <w:szCs w:val="24"/>
        </w:rPr>
        <w:t xml:space="preserve">3.1.3 — Limitations &amp; Critical Analysis</w:t>
      </w:r>
    </w:p>
    <w:p>
      <w:pPr>
        <w:spacing w:after="160" w:line="276"/>
        <w:jc w:val="left"/>
      </w:pPr>
      <w:r>
        <w:rPr>
          <w:rFonts w:ascii="Arial" w:cs="Arial" w:eastAsia="Arial" w:hAnsi="Arial"/>
          <w:b w:val="false"/>
          <w:bCs w:val="false"/>
          <w:i w:val="false"/>
          <w:iCs w:val="false"/>
          <w:color w:val="333333"/>
          <w:sz w:val="22"/>
          <w:szCs w:val="22"/>
        </w:rPr>
        <w:t xml:space="preserve">While AMT-130 is groundbreaking, critical analysis reveals important limitations that must be addressed for a true cure: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Non-Selective Lowering: </w:t>
      </w:r>
      <w:r>
        <w:rPr>
          <w:rFonts w:ascii="Arial" w:cs="Arial" w:eastAsia="Arial" w:hAnsi="Arial"/>
          <w:b w:val="false"/>
          <w:bCs w:val="false"/>
          <w:i w:val="false"/>
          <w:iCs w:val="false"/>
          <w:color w:val="333333"/>
          <w:sz w:val="22"/>
          <w:szCs w:val="22"/>
        </w:rPr>
        <w:t xml:space="preserve">AMT-130 reduces BOTH mutant and wild-type huntingtin. While preclinical data suggests this is tolerable, the long-term consequences of lifelong wild-type HTT reduction in humans remain unknown. Normal huntingtin plays roles in vesicular transport, transcription, and anti-apoptotic signaling.</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No Confirmed Target Engagement: </w:t>
      </w:r>
      <w:r>
        <w:rPr>
          <w:rFonts w:ascii="Arial" w:cs="Arial" w:eastAsia="Arial" w:hAnsi="Arial"/>
          <w:b w:val="false"/>
          <w:bCs w:val="false"/>
          <w:i w:val="false"/>
          <w:iCs w:val="false"/>
          <w:color w:val="333333"/>
          <w:sz w:val="22"/>
          <w:szCs w:val="22"/>
        </w:rPr>
        <w:t xml:space="preserve">The topline data did not include CSF measurements of mHTT or wtHTT reduction. While uniQure argues that localized brain delivery may not produce measurable CSF changes, their own preclinical minipig data showed clear CSF mHTT reductions, raising questions.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External Control Comparison: </w:t>
      </w:r>
      <w:r>
        <w:rPr>
          <w:rFonts w:ascii="Arial" w:cs="Arial" w:eastAsia="Arial" w:hAnsi="Arial"/>
          <w:b w:val="false"/>
          <w:bCs w:val="false"/>
          <w:i w:val="false"/>
          <w:iCs w:val="false"/>
          <w:color w:val="333333"/>
          <w:sz w:val="22"/>
          <w:szCs w:val="22"/>
        </w:rPr>
        <w:t xml:space="preserve">The primary analysis used propensity-matched external controls from ENROLL-HD, not a randomized placebo group. The European sub-study did have sham controls, but those 12-month data showed less clear separation.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Neurosurgical Delivery: </w:t>
      </w:r>
      <w:r>
        <w:rPr>
          <w:rFonts w:ascii="Arial" w:cs="Arial" w:eastAsia="Arial" w:hAnsi="Arial"/>
          <w:b w:val="false"/>
          <w:bCs w:val="false"/>
          <w:i w:val="false"/>
          <w:iCs w:val="false"/>
          <w:color w:val="333333"/>
          <w:sz w:val="22"/>
          <w:szCs w:val="22"/>
        </w:rPr>
        <w:t xml:space="preserve">Requires MRI-guided stereotactic brain surgery, limiting accessibility and scalability.</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Does Not Address Somatic Expansion: </w:t>
      </w:r>
      <w:r>
        <w:rPr>
          <w:rFonts w:ascii="Arial" w:cs="Arial" w:eastAsia="Arial" w:hAnsi="Arial"/>
          <w:b w:val="false"/>
          <w:bCs w:val="false"/>
          <w:i w:val="false"/>
          <w:iCs w:val="false"/>
          <w:color w:val="333333"/>
          <w:sz w:val="22"/>
          <w:szCs w:val="22"/>
        </w:rPr>
        <w:t xml:space="preserve">Even with HTT mRNA silencing, the underlying CAG repeat continues to expand somatically. The neurons not yet expressing toxic levels of mHTT may still progress to toxicity threshold over time.</w:t>
      </w:r>
    </w:p>
    <w:p>
      <w:pPr>
        <w:spacing w:after="160" w:line="276"/>
        <w:jc w:val="left"/>
      </w:pPr>
      <w:r>
        <w:rPr>
          <w:rFonts w:ascii="Arial" w:cs="Arial" w:eastAsia="Arial" w:hAnsi="Arial"/>
          <w:b/>
          <w:bCs/>
          <w:i w:val="false"/>
          <w:iCs w:val="false"/>
          <w:color w:val="1B2A4A"/>
          <w:sz w:val="22"/>
          <w:szCs w:val="22"/>
        </w:rPr>
        <w:t xml:space="preserve">Conclusion: </w:t>
      </w:r>
      <w:r>
        <w:rPr>
          <w:rFonts w:ascii="Arial" w:cs="Arial" w:eastAsia="Arial" w:hAnsi="Arial"/>
          <w:b w:val="false"/>
          <w:bCs w:val="false"/>
          <w:i w:val="false"/>
          <w:iCs w:val="false"/>
          <w:color w:val="333333"/>
          <w:sz w:val="22"/>
          <w:szCs w:val="22"/>
        </w:rPr>
        <w:t xml:space="preserve">AMT-130 is a historic first step—proof of concept that genetically-targeted therapy can slow HD. But it is a SLOWING therapy, not a CURE. True cure requires combining gene silencing with somatic expansion prevention and protein degradation.</w:t>
      </w:r>
    </w:p>
    <w:p>
      <w:r>
        <w:br w:type="page"/>
      </w:r>
    </w:p>
    <w:p>
      <w:pPr>
        <w:pStyle w:val="Heading1"/>
        <w:spacing w:before="400" w:after="200"/>
      </w:pPr>
      <w:r>
        <w:rPr>
          <w:rFonts w:ascii="Arial" w:cs="Arial" w:eastAsia="Arial" w:hAnsi="Arial"/>
          <w:b/>
          <w:bCs/>
          <w:color w:val="1B2A4A"/>
          <w:sz w:val="36"/>
          <w:szCs w:val="36"/>
        </w:rPr>
        <w:t xml:space="preserve">PART IV: VECTOR 2 — Somatic Expansion Prevention</w:t>
      </w:r>
    </w:p>
    <w:p>
      <w:pPr>
        <w:pStyle w:val="Heading2"/>
        <w:pBdr>
          <w:bottom w:val="single" w:color="3A7CA5" w:sz="2" w:space="4"/>
        </w:pBdr>
        <w:spacing w:before="300" w:after="150"/>
      </w:pPr>
      <w:r>
        <w:rPr>
          <w:rFonts w:ascii="Arial" w:cs="Arial" w:eastAsia="Arial" w:hAnsi="Arial"/>
          <w:b/>
          <w:bCs/>
          <w:color w:val="2E5090"/>
          <w:sz w:val="28"/>
          <w:szCs w:val="28"/>
        </w:rPr>
        <w:t xml:space="preserve">4.1 — MSH3: The Master Driver of HD Progression</w:t>
      </w:r>
    </w:p>
    <w:p>
      <w:pPr>
        <w:spacing w:after="160" w:line="276"/>
        <w:jc w:val="left"/>
      </w:pPr>
      <w:r>
        <w:rPr>
          <w:rFonts w:ascii="Arial" w:cs="Arial" w:eastAsia="Arial" w:hAnsi="Arial"/>
          <w:b w:val="false"/>
          <w:bCs w:val="false"/>
          <w:i w:val="false"/>
          <w:iCs w:val="false"/>
          <w:color w:val="333333"/>
          <w:sz w:val="22"/>
          <w:szCs w:val="22"/>
        </w:rPr>
        <w:t xml:space="preserve">If somatic CAG expansion is the engine that drives HD pathogenesis, then MSH3 is the key that turns that engine. MSH3 encodes the MutS homolog 3 protein, which forms the MutSβ heterodimer with MSH2. This complex recognizes and binds to DNA structures created by CAG repeat slip-outs during replication and repair. Critically, instead of faithfully correcting these structures, MutSβ inadvertently promotes further expansion of the repeat tract.</w:t>
      </w:r>
    </w:p>
    <w:p>
      <w:pPr>
        <w:spacing w:after="160" w:line="276"/>
        <w:jc w:val="left"/>
      </w:pPr>
      <w:r>
        <w:rPr>
          <w:rFonts w:ascii="Arial" w:cs="Arial" w:eastAsia="Arial" w:hAnsi="Arial"/>
          <w:b w:val="false"/>
          <w:bCs w:val="false"/>
          <w:i w:val="false"/>
          <w:iCs w:val="false"/>
          <w:color w:val="333333"/>
          <w:sz w:val="22"/>
          <w:szCs w:val="22"/>
        </w:rPr>
        <w:t xml:space="preserve">MSH3 is an ideal therapeutic target for several reasons: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Loss-of-function tolerance: </w:t>
      </w:r>
      <w:r>
        <w:rPr>
          <w:rFonts w:ascii="Arial" w:cs="Arial" w:eastAsia="Arial" w:hAnsi="Arial"/>
          <w:b w:val="false"/>
          <w:bCs w:val="false"/>
          <w:i w:val="false"/>
          <w:iCs w:val="false"/>
          <w:color w:val="333333"/>
          <w:sz w:val="22"/>
          <w:szCs w:val="22"/>
        </w:rPr>
        <w:t xml:space="preserve">Unlike other mismatch repair genes (MLH1, MSH2), complete loss of MSH3 does NOT cause the cancer syndrome (Lynch syndrome) associated with mismatch repair deficiency. MSH3 nullizygosity in humans appears to be tolerable.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Rate-limiting role: </w:t>
      </w:r>
      <w:r>
        <w:rPr>
          <w:rFonts w:ascii="Arial" w:cs="Arial" w:eastAsia="Arial" w:hAnsi="Arial"/>
          <w:b w:val="false"/>
          <w:bCs w:val="false"/>
          <w:i w:val="false"/>
          <w:iCs w:val="false"/>
          <w:color w:val="333333"/>
          <w:sz w:val="22"/>
          <w:szCs w:val="22"/>
        </w:rPr>
        <w:t xml:space="preserve">Research shows a near-linear relationship between MSH3 protein levels and somatic expansion rate. Reducing MSH3 by 50% reduces expansion rate proportionally. An 83% reduction is predicted to halt expansion entirely.</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Cell-type specificity: </w:t>
      </w:r>
      <w:r>
        <w:rPr>
          <w:rFonts w:ascii="Arial" w:cs="Arial" w:eastAsia="Arial" w:hAnsi="Arial"/>
          <w:b w:val="false"/>
          <w:bCs w:val="false"/>
          <w:i w:val="false"/>
          <w:iCs w:val="false"/>
          <w:color w:val="333333"/>
          <w:sz w:val="22"/>
          <w:szCs w:val="22"/>
        </w:rPr>
        <w:t xml:space="preserve">MSNs in the human striatum express particularly high levels of MSH3 due to species-specific enhancer elements in MSH3 introns 8–9. This explains why these neurons are selectively vulnerable.</w:t>
      </w:r>
    </w:p>
    <w:p>
      <w:pPr>
        <w:pStyle w:val="Heading2"/>
        <w:pBdr>
          <w:bottom w:val="single" w:color="3A7CA5" w:sz="2" w:space="4"/>
        </w:pBdr>
        <w:spacing w:before="300" w:after="150"/>
      </w:pPr>
      <w:r>
        <w:rPr>
          <w:rFonts w:ascii="Arial" w:cs="Arial" w:eastAsia="Arial" w:hAnsi="Arial"/>
          <w:b/>
          <w:bCs/>
          <w:color w:val="2E5090"/>
          <w:sz w:val="28"/>
          <w:szCs w:val="28"/>
        </w:rPr>
        <w:t xml:space="preserve">4.2 — The Tabrizi ASO Breakthrough (February 2025)</w:t>
      </w:r>
    </w:p>
    <w:p>
      <w:pPr>
        <w:spacing w:after="160" w:line="276"/>
        <w:jc w:val="left"/>
      </w:pPr>
      <w:r>
        <w:rPr>
          <w:rFonts w:ascii="Arial" w:cs="Arial" w:eastAsia="Arial" w:hAnsi="Arial"/>
          <w:b w:val="false"/>
          <w:bCs w:val="false"/>
          <w:i w:val="false"/>
          <w:iCs w:val="false"/>
          <w:color w:val="333333"/>
          <w:sz w:val="22"/>
          <w:szCs w:val="22"/>
        </w:rPr>
        <w:t xml:space="preserve">In February 2025, Professor Sarah Tabrizi’s team at UCL published landmark results in Science Translational Medicine demonstrating that antisense oligonucleotide (ASO)-mediated MSH3 suppression can halt somatic CAG repeat expansion in HD patient-derived striatal neurons.</w:t>
      </w:r>
    </w:p>
    <w:p>
      <w:pPr>
        <w:spacing w:after="160" w:line="276"/>
        <w:jc w:val="left"/>
      </w:pPr>
      <w:r>
        <w:rPr>
          <w:rFonts w:ascii="Arial" w:cs="Arial" w:eastAsia="Arial" w:hAnsi="Arial"/>
          <w:b w:val="false"/>
          <w:bCs w:val="false"/>
          <w:i w:val="false"/>
          <w:iCs w:val="false"/>
          <w:color w:val="333333"/>
          <w:sz w:val="22"/>
          <w:szCs w:val="22"/>
        </w:rPr>
        <w:t xml:space="preserve">Key experimental findings:</w:t>
      </w:r>
    </w:p>
    <w:p>
      <w:pPr>
        <w:pStyle w:val="ListParagraph"/>
        <w:numPr>
          <w:ilvl w:val="0"/>
          <w:numId w:val="2"/>
        </w:numPr>
        <w:spacing w:after="100" w:line="276"/>
      </w:pPr>
      <w:r>
        <w:rPr>
          <w:rFonts w:ascii="Arial" w:cs="Arial" w:eastAsia="Arial" w:hAnsi="Arial"/>
          <w:color w:val="333333"/>
          <w:sz w:val="22"/>
          <w:szCs w:val="22"/>
        </w:rPr>
        <w:t xml:space="preserve">iPSC-derived striatal neurons from an HD patient carrying 125 CAG repeats were treated with MSH3-targeting ASOs.</w:t>
      </w:r>
    </w:p>
    <w:p>
      <w:pPr>
        <w:pStyle w:val="ListParagraph"/>
        <w:numPr>
          <w:ilvl w:val="0"/>
          <w:numId w:val="2"/>
        </w:numPr>
        <w:spacing w:after="100" w:line="276"/>
      </w:pPr>
      <w:r>
        <w:rPr>
          <w:rFonts w:ascii="Arial" w:cs="Arial" w:eastAsia="Arial" w:hAnsi="Arial"/>
          <w:color w:val="333333"/>
          <w:sz w:val="22"/>
          <w:szCs w:val="22"/>
        </w:rPr>
        <w:t xml:space="preserve">ASO treatment produced dose-dependent reduction of MSH3 protein and subsequent stalling of CAG repeat expansion.</w:t>
      </w:r>
    </w:p>
    <w:p>
      <w:pPr>
        <w:pStyle w:val="ListParagraph"/>
        <w:numPr>
          <w:ilvl w:val="0"/>
          <w:numId w:val="2"/>
        </w:numPr>
        <w:spacing w:after="100" w:line="276"/>
      </w:pPr>
      <w:r>
        <w:rPr>
          <w:rFonts w:ascii="Arial" w:cs="Arial" w:eastAsia="Arial" w:hAnsi="Arial"/>
          <w:color w:val="333333"/>
          <w:sz w:val="22"/>
          <w:szCs w:val="22"/>
        </w:rPr>
        <w:t xml:space="preserve">The highest ASO doses halted expansion completely.</w:t>
      </w:r>
    </w:p>
    <w:p>
      <w:pPr>
        <w:pStyle w:val="ListParagraph"/>
        <w:numPr>
          <w:ilvl w:val="0"/>
          <w:numId w:val="2"/>
        </w:numPr>
        <w:spacing w:after="100" w:line="276"/>
      </w:pPr>
      <w:r>
        <w:rPr>
          <w:rFonts w:ascii="Arial" w:cs="Arial" w:eastAsia="Arial" w:hAnsi="Arial"/>
          <w:color w:val="333333"/>
          <w:sz w:val="22"/>
          <w:szCs w:val="22"/>
        </w:rPr>
        <w:t xml:space="preserve">Mathematical modeling predicted that 41% MSH3 reduction halves expansion rate; 83% reduction stops it entirely.</w:t>
      </w:r>
    </w:p>
    <w:p>
      <w:pPr>
        <w:pStyle w:val="ListParagraph"/>
        <w:numPr>
          <w:ilvl w:val="0"/>
          <w:numId w:val="2"/>
        </w:numPr>
        <w:spacing w:after="100" w:line="276"/>
      </w:pPr>
      <w:r>
        <w:rPr>
          <w:rFonts w:ascii="Arial" w:cs="Arial" w:eastAsia="Arial" w:hAnsi="Arial"/>
          <w:color w:val="333333"/>
          <w:sz w:val="22"/>
          <w:szCs w:val="22"/>
        </w:rPr>
        <w:t xml:space="preserve">CRISPR knockout of MSH3 not only stopped expansion but in some cells actually SHRANK the repeat—a finding Tabrizi’s lab is actively investigating.</w:t>
      </w:r>
    </w:p>
    <w:p>
      <w:pPr>
        <w:pStyle w:val="ListParagraph"/>
        <w:numPr>
          <w:ilvl w:val="0"/>
          <w:numId w:val="2"/>
        </w:numPr>
        <w:spacing w:after="100" w:line="276"/>
      </w:pPr>
      <w:r>
        <w:rPr>
          <w:rFonts w:ascii="Arial" w:cs="Arial" w:eastAsia="Arial" w:hAnsi="Arial"/>
          <w:color w:val="333333"/>
          <w:sz w:val="22"/>
          <w:szCs w:val="22"/>
        </w:rPr>
        <w:t xml:space="preserve">Bulk RNA sequencing showed a safe profile even at &gt;95% MSH3 knockdown, with no significant off-target transcriptional effects.</w:t>
      </w:r>
    </w:p>
    <w:p>
      <w:pPr>
        <w:pStyle w:val="ListParagraph"/>
        <w:numPr>
          <w:ilvl w:val="0"/>
          <w:numId w:val="2"/>
        </w:numPr>
        <w:spacing w:after="100" w:line="276"/>
      </w:pPr>
      <w:r>
        <w:rPr>
          <w:rFonts w:ascii="Arial" w:cs="Arial" w:eastAsia="Arial" w:hAnsi="Arial"/>
          <w:color w:val="333333"/>
          <w:sz w:val="22"/>
          <w:szCs w:val="22"/>
        </w:rPr>
        <w:t xml:space="preserve">A human MSH3 knock-in mouse model demonstrated effective in vivo MSH3 reduction after ASO treatment, with 77% reduction in brainstem, 74% in spinal cord, 49% in cortex, and 46% in striatum.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6"/>
              <w:bottom w:val="single" w:color="1B2A4A" w:sz="1"/>
              <w:right w:val="single" w:color="1B2A4A" w:sz="1"/>
            </w:tcBorders>
            <w:shd w:fill="EDF3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THE PARADIGM SHIFT: From Protein to DNA</w:t>
            </w:r>
          </w:p>
          <w:p>
            <w:pPr>
              <w:spacing w:after="0"/>
            </w:pPr>
            <w:r>
              <w:rPr>
                <w:rFonts w:ascii="Arial" w:cs="Arial" w:eastAsia="Arial" w:hAnsi="Arial"/>
                <w:i/>
                <w:iCs/>
                <w:color w:val="444444"/>
                <w:sz w:val="20"/>
                <w:szCs w:val="20"/>
              </w:rPr>
              <w:t xml:space="preserve">The MSH3 targeting approach represents a fundamental shift in HD therapeutic strategy. Rather than cleaning up the toxic protein after it’s made (gene silencing) or after it’s aggregated (protein degradation), this approach prevents the disease from progressing at the DNA level. If somatic expansion can be halted before neurons cross the pathogenic threshold (~150+ repeats), those neurons never become sick. This is not treatment—this is PREVENTION at the most fundamental biological level.</w:t>
            </w:r>
          </w:p>
        </w:tc>
      </w:tr>
    </w:tbl>
    <w:p>
      <w:pPr>
        <w:spacing w:before="100" w:after="0"/>
      </w:pPr>
    </w:p>
    <w:p>
      <w:pPr>
        <w:pStyle w:val="Heading2"/>
        <w:pBdr>
          <w:bottom w:val="single" w:color="3A7CA5" w:sz="2" w:space="4"/>
        </w:pBdr>
        <w:spacing w:before="300" w:after="150"/>
      </w:pPr>
      <w:r>
        <w:rPr>
          <w:rFonts w:ascii="Arial" w:cs="Arial" w:eastAsia="Arial" w:hAnsi="Arial"/>
          <w:b/>
          <w:bCs/>
          <w:color w:val="2E5090"/>
          <w:sz w:val="28"/>
          <w:szCs w:val="28"/>
        </w:rPr>
        <w:t xml:space="preserve">4.3 — Additional Somatic Expansion Targeting Approaches</w:t>
      </w:r>
    </w:p>
    <w:p>
      <w:pPr>
        <w:pStyle w:val="Heading3"/>
        <w:spacing w:before="240" w:after="120"/>
      </w:pPr>
      <w:r>
        <w:rPr>
          <w:rFonts w:ascii="Arial" w:cs="Arial" w:eastAsia="Arial" w:hAnsi="Arial"/>
          <w:b/>
          <w:bCs/>
          <w:color w:val="3A7CA5"/>
          <w:sz w:val="24"/>
          <w:szCs w:val="24"/>
        </w:rPr>
        <w:t xml:space="preserve">4.3.1 — LoQus23 Therapeutics: Oral MSH3 Reducer</w:t>
      </w:r>
    </w:p>
    <w:p>
      <w:pPr>
        <w:spacing w:after="160" w:line="276"/>
        <w:jc w:val="left"/>
      </w:pPr>
      <w:r>
        <w:rPr>
          <w:rFonts w:ascii="Arial" w:cs="Arial" w:eastAsia="Arial" w:hAnsi="Arial"/>
          <w:b w:val="false"/>
          <w:bCs w:val="false"/>
          <w:i w:val="false"/>
          <w:iCs w:val="false"/>
          <w:color w:val="333333"/>
          <w:sz w:val="22"/>
          <w:szCs w:val="22"/>
        </w:rPr>
        <w:t xml:space="preserve">LoQus23 is developing an oral small molecule that lowers MSH3 levels, aiming to halt somatic expansion via a convenient pill. Currently in preclinical development. An oral approach would be transformative for accessibility compared to ASOs requiring intrathecal injection or gene therapies requiring brain surgery.</w:t>
      </w:r>
    </w:p>
    <w:p>
      <w:pPr>
        <w:pStyle w:val="Heading3"/>
        <w:spacing w:before="240" w:after="120"/>
      </w:pPr>
      <w:r>
        <w:rPr>
          <w:rFonts w:ascii="Arial" w:cs="Arial" w:eastAsia="Arial" w:hAnsi="Arial"/>
          <w:b/>
          <w:bCs/>
          <w:color w:val="3A7CA5"/>
          <w:sz w:val="24"/>
          <w:szCs w:val="24"/>
        </w:rPr>
        <w:t xml:space="preserve">4.3.2 — Harness Therapeutics: FAN1 Enhancement</w:t>
      </w:r>
    </w:p>
    <w:p>
      <w:pPr>
        <w:spacing w:after="160" w:line="276"/>
        <w:jc w:val="left"/>
      </w:pPr>
      <w:r>
        <w:rPr>
          <w:rFonts w:ascii="Arial" w:cs="Arial" w:eastAsia="Arial" w:hAnsi="Arial"/>
          <w:b w:val="false"/>
          <w:bCs w:val="false"/>
          <w:i w:val="false"/>
          <w:iCs w:val="false"/>
          <w:color w:val="333333"/>
          <w:sz w:val="22"/>
          <w:szCs w:val="22"/>
        </w:rPr>
        <w:t xml:space="preserve">FAN1 (Fanconi-associated nuclease 1) is a counter-balance to MSH3—it protects against CAG expansion by stabilizing DNA structures. Harness is developing ASOs that increase FAN1 levels, providing expansion protection from the opposite direction. Still in early research.</w:t>
      </w:r>
    </w:p>
    <w:p>
      <w:pPr>
        <w:pStyle w:val="Heading3"/>
        <w:spacing w:before="240" w:after="120"/>
      </w:pPr>
      <w:r>
        <w:rPr>
          <w:rFonts w:ascii="Arial" w:cs="Arial" w:eastAsia="Arial" w:hAnsi="Arial"/>
          <w:b/>
          <w:bCs/>
          <w:color w:val="3A7CA5"/>
          <w:sz w:val="24"/>
          <w:szCs w:val="24"/>
        </w:rPr>
        <w:t xml:space="preserve">4.3.3 — Skyhawk Therapeutics: Dual RNA Splicing Modulator</w:t>
      </w:r>
    </w:p>
    <w:p>
      <w:pPr>
        <w:spacing w:after="160" w:line="276"/>
        <w:jc w:val="left"/>
      </w:pPr>
      <w:r>
        <w:rPr>
          <w:rFonts w:ascii="Arial" w:cs="Arial" w:eastAsia="Arial" w:hAnsi="Arial"/>
          <w:b w:val="false"/>
          <w:bCs w:val="false"/>
          <w:i w:val="false"/>
          <w:iCs w:val="false"/>
          <w:color w:val="333333"/>
          <w:sz w:val="22"/>
          <w:szCs w:val="22"/>
        </w:rPr>
        <w:t xml:space="preserve">An oral “RNA splicing” drug that lowers huntingtin protein AND affects PMS1 (another key somatic expansion driver). This dual mechanism addresses both protein toxicity and somatic expansion simultaneously. Phase 2/3 study expected mid-2025. If successful, this would be the first oral disease-modifying therapy for HD.</w:t>
      </w:r>
    </w:p>
    <w:p>
      <w:pPr>
        <w:pStyle w:val="Heading3"/>
        <w:spacing w:before="240" w:after="120"/>
      </w:pPr>
      <w:r>
        <w:rPr>
          <w:rFonts w:ascii="Arial" w:cs="Arial" w:eastAsia="Arial" w:hAnsi="Arial"/>
          <w:b/>
          <w:bCs/>
          <w:color w:val="3A7CA5"/>
          <w:sz w:val="24"/>
          <w:szCs w:val="24"/>
        </w:rPr>
        <w:t xml:space="preserve">4.3.4 — ReviR Therapeutics: Oral mHTT + PMS1 Targeter</w:t>
      </w:r>
    </w:p>
    <w:p>
      <w:pPr>
        <w:spacing w:after="160" w:line="276"/>
        <w:jc w:val="left"/>
      </w:pPr>
      <w:r>
        <w:rPr>
          <w:rFonts w:ascii="Arial" w:cs="Arial" w:eastAsia="Arial" w:hAnsi="Arial"/>
          <w:b w:val="false"/>
          <w:bCs w:val="false"/>
          <w:i w:val="false"/>
          <w:iCs w:val="false"/>
          <w:color w:val="333333"/>
          <w:sz w:val="22"/>
          <w:szCs w:val="22"/>
        </w:rPr>
        <w:t xml:space="preserve">Another oral small molecule targeting both the huntingtin gene and PMS1, providing dual mechanism disease modification in pill form.</w:t>
      </w:r>
    </w:p>
    <w:p>
      <w:r>
        <w:br w:type="page"/>
      </w:r>
    </w:p>
    <w:p>
      <w:pPr>
        <w:pStyle w:val="Heading1"/>
        <w:spacing w:before="400" w:after="200"/>
      </w:pPr>
      <w:r>
        <w:rPr>
          <w:rFonts w:ascii="Arial" w:cs="Arial" w:eastAsia="Arial" w:hAnsi="Arial"/>
          <w:b/>
          <w:bCs/>
          <w:color w:val="1B2A4A"/>
          <w:sz w:val="36"/>
          <w:szCs w:val="36"/>
        </w:rPr>
        <w:t xml:space="preserve">PART V: VECTOR 3 — Allele-Selective CRISPR Gene Editing</w:t>
      </w:r>
    </w:p>
    <w:p>
      <w:pPr>
        <w:pStyle w:val="Heading2"/>
        <w:pBdr>
          <w:bottom w:val="single" w:color="3A7CA5" w:sz="2" w:space="4"/>
        </w:pBdr>
        <w:spacing w:before="300" w:after="150"/>
      </w:pPr>
      <w:r>
        <w:rPr>
          <w:rFonts w:ascii="Arial" w:cs="Arial" w:eastAsia="Arial" w:hAnsi="Arial"/>
          <w:b/>
          <w:bCs/>
          <w:color w:val="2E5090"/>
          <w:sz w:val="28"/>
          <w:szCs w:val="28"/>
        </w:rPr>
        <w:t xml:space="preserve">5.1 — The Ultimate Goal: Delete the Mutation</w:t>
      </w:r>
    </w:p>
    <w:p>
      <w:pPr>
        <w:spacing w:after="160" w:line="276"/>
        <w:jc w:val="left"/>
      </w:pPr>
      <w:r>
        <w:rPr>
          <w:rFonts w:ascii="Arial" w:cs="Arial" w:eastAsia="Arial" w:hAnsi="Arial"/>
          <w:b w:val="false"/>
          <w:bCs w:val="false"/>
          <w:i w:val="false"/>
          <w:iCs w:val="false"/>
          <w:color w:val="333333"/>
          <w:sz w:val="22"/>
          <w:szCs w:val="22"/>
        </w:rPr>
        <w:t xml:space="preserve">While gene silencing (Vector 1) reduces mHTT production and somatic expansion prevention (Vector 2) stops the repeat from growing, CRISPR gene editing represents the most definitive approach: permanently disabling or correcting the mutant HTT allele at the DNA level. This is the path to a true one-time genetic cure.</w:t>
      </w:r>
    </w:p>
    <w:p>
      <w:pPr>
        <w:pStyle w:val="Heading3"/>
        <w:spacing w:before="240" w:after="120"/>
      </w:pPr>
      <w:r>
        <w:rPr>
          <w:rFonts w:ascii="Arial" w:cs="Arial" w:eastAsia="Arial" w:hAnsi="Arial"/>
          <w:b/>
          <w:bCs/>
          <w:color w:val="3A7CA5"/>
          <w:sz w:val="24"/>
          <w:szCs w:val="24"/>
        </w:rPr>
        <w:t xml:space="preserve">5.1.1 — The Allele Selectivity Challenge</w:t>
      </w:r>
    </w:p>
    <w:p>
      <w:pPr>
        <w:spacing w:after="160" w:line="276"/>
        <w:jc w:val="left"/>
      </w:pPr>
      <w:r>
        <w:rPr>
          <w:rFonts w:ascii="Arial" w:cs="Arial" w:eastAsia="Arial" w:hAnsi="Arial"/>
          <w:b w:val="false"/>
          <w:bCs w:val="false"/>
          <w:i w:val="false"/>
          <w:iCs w:val="false"/>
          <w:color w:val="333333"/>
          <w:sz w:val="22"/>
          <w:szCs w:val="22"/>
        </w:rPr>
        <w:t xml:space="preserve">The critical challenge is specificity. Every HD patient has one mutant and one normal copy of HTT. Normal huntingtin plays important roles in neuronal health. The ideal CRISPR therapy must selectively target ONLY the mutant allele while preserving wild-type HTT function. Three strategies are being developed: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SNP-Guided Editing: </w:t>
      </w:r>
      <w:r>
        <w:rPr>
          <w:rFonts w:ascii="Arial" w:cs="Arial" w:eastAsia="Arial" w:hAnsi="Arial"/>
          <w:b w:val="false"/>
          <w:bCs w:val="false"/>
          <w:i w:val="false"/>
          <w:iCs w:val="false"/>
          <w:color w:val="333333"/>
          <w:sz w:val="22"/>
          <w:szCs w:val="22"/>
        </w:rPr>
        <w:t xml:space="preserve">Single nucleotide polymorphisms (SNPs) that exist only on the mutant allele can be used as targeting markers. Guide RNAs are designed to recognize these SNP sequences, enabling CRISPR to distinguish mutant from wild-type at a single-base level.</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CAG Repeat-Length Discrimination: </w:t>
      </w:r>
      <w:r>
        <w:rPr>
          <w:rFonts w:ascii="Arial" w:cs="Arial" w:eastAsia="Arial" w:hAnsi="Arial"/>
          <w:b w:val="false"/>
          <w:bCs w:val="false"/>
          <w:i w:val="false"/>
          <w:iCs w:val="false"/>
          <w:color w:val="333333"/>
          <w:sz w:val="22"/>
          <w:szCs w:val="22"/>
        </w:rPr>
        <w:t xml:space="preserve">Designing guide RNAs that preferentially bind the longer, expanded CAG repeat tract. The expanded repeat forms unique DNA structures (hairpins, slip-outs) that can be selectively recognized.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Transcriptional Silencing (CRISPRi): </w:t>
      </w:r>
      <w:r>
        <w:rPr>
          <w:rFonts w:ascii="Arial" w:cs="Arial" w:eastAsia="Arial" w:hAnsi="Arial"/>
          <w:b w:val="false"/>
          <w:bCs w:val="false"/>
          <w:i w:val="false"/>
          <w:iCs w:val="false"/>
          <w:color w:val="333333"/>
          <w:sz w:val="22"/>
          <w:szCs w:val="22"/>
        </w:rPr>
        <w:t xml:space="preserve">Rather than cutting DNA, a catalytically dead Cas protein (dCas9) fused to a transcriptional repressor is directed to the mutant allele’s promoter, permanently silencing it without creating double-strand breaks.</w:t>
      </w:r>
    </w:p>
    <w:p>
      <w:pPr>
        <w:pStyle w:val="Heading2"/>
        <w:pBdr>
          <w:bottom w:val="single" w:color="3A7CA5" w:sz="2" w:space="4"/>
        </w:pBdr>
        <w:spacing w:before="300" w:after="150"/>
      </w:pPr>
      <w:r>
        <w:rPr>
          <w:rFonts w:ascii="Arial" w:cs="Arial" w:eastAsia="Arial" w:hAnsi="Arial"/>
          <w:b/>
          <w:bCs/>
          <w:color w:val="2E5090"/>
          <w:sz w:val="28"/>
          <w:szCs w:val="28"/>
        </w:rPr>
        <w:t xml:space="preserve">5.2 — LETI-101 (Life Edit / ElevateBio)</w:t>
      </w:r>
    </w:p>
    <w:p>
      <w:pPr>
        <w:spacing w:after="160" w:line="276"/>
        <w:jc w:val="left"/>
      </w:pPr>
      <w:r>
        <w:rPr>
          <w:rFonts w:ascii="Arial" w:cs="Arial" w:eastAsia="Arial" w:hAnsi="Arial"/>
          <w:b w:val="false"/>
          <w:bCs w:val="false"/>
          <w:i w:val="false"/>
          <w:iCs w:val="false"/>
          <w:color w:val="333333"/>
          <w:sz w:val="22"/>
          <w:szCs w:val="22"/>
        </w:rPr>
        <w:t xml:space="preserve">The most advanced CRISPR program for HD. LETI-101 uses an AAV5-delivered Life Edit CRISPR system for allele-selective editing. Presented at the 20th Annual HD Therapeutics Conference (February 2025):</w:t>
      </w:r>
    </w:p>
    <w:p>
      <w:pPr>
        <w:pStyle w:val="ListParagraph"/>
        <w:numPr>
          <w:ilvl w:val="0"/>
          <w:numId w:val="2"/>
        </w:numPr>
        <w:spacing w:after="100" w:line="276"/>
      </w:pPr>
      <w:r>
        <w:rPr>
          <w:rFonts w:ascii="Arial" w:cs="Arial" w:eastAsia="Arial" w:hAnsi="Arial"/>
          <w:color w:val="333333"/>
          <w:sz w:val="22"/>
          <w:szCs w:val="22"/>
        </w:rPr>
        <w:t xml:space="preserve">Achieved broad CNS biodistribution after a single administration.</w:t>
      </w:r>
    </w:p>
    <w:p>
      <w:pPr>
        <w:pStyle w:val="ListParagraph"/>
        <w:numPr>
          <w:ilvl w:val="0"/>
          <w:numId w:val="2"/>
        </w:numPr>
        <w:spacing w:after="100" w:line="276"/>
      </w:pPr>
      <w:r>
        <w:rPr>
          <w:rFonts w:ascii="Arial" w:cs="Arial" w:eastAsia="Arial" w:hAnsi="Arial"/>
          <w:color w:val="333333"/>
          <w:sz w:val="22"/>
          <w:szCs w:val="22"/>
        </w:rPr>
        <w:t xml:space="preserve">Demonstrated allele-selective editing—potent repression of mutant huntingtin with preservation of wild-type HTT.</w:t>
      </w:r>
    </w:p>
    <w:p>
      <w:pPr>
        <w:pStyle w:val="ListParagraph"/>
        <w:numPr>
          <w:ilvl w:val="0"/>
          <w:numId w:val="2"/>
        </w:numPr>
        <w:spacing w:after="100" w:line="276"/>
      </w:pPr>
      <w:r>
        <w:rPr>
          <w:rFonts w:ascii="Arial" w:cs="Arial" w:eastAsia="Arial" w:hAnsi="Arial"/>
          <w:color w:val="333333"/>
          <w:sz w:val="22"/>
          <w:szCs w:val="22"/>
        </w:rPr>
        <w:t xml:space="preserve">Favorable safety profile in animal models.</w:t>
      </w:r>
    </w:p>
    <w:p>
      <w:pPr>
        <w:pStyle w:val="ListParagraph"/>
        <w:numPr>
          <w:ilvl w:val="0"/>
          <w:numId w:val="2"/>
        </w:numPr>
        <w:spacing w:after="100" w:line="276"/>
      </w:pPr>
      <w:r>
        <w:rPr>
          <w:rFonts w:ascii="Arial" w:cs="Arial" w:eastAsia="Arial" w:hAnsi="Arial"/>
          <w:color w:val="333333"/>
          <w:sz w:val="22"/>
          <w:szCs w:val="22"/>
        </w:rPr>
        <w:t xml:space="preserve">Gained alignment with UK MHRA on development strategy and CMC path.</w:t>
      </w:r>
    </w:p>
    <w:p>
      <w:pPr>
        <w:pStyle w:val="ListParagraph"/>
        <w:numPr>
          <w:ilvl w:val="0"/>
          <w:numId w:val="2"/>
        </w:numPr>
        <w:spacing w:after="100" w:line="276"/>
      </w:pPr>
      <w:r>
        <w:rPr>
          <w:rFonts w:ascii="Arial" w:cs="Arial" w:eastAsia="Arial" w:hAnsi="Arial"/>
          <w:color w:val="333333"/>
          <w:sz w:val="22"/>
          <w:szCs w:val="22"/>
        </w:rPr>
        <w:t xml:space="preserve">Seeking collaboration partners to accelerate into clinical trials.</w:t>
      </w:r>
    </w:p>
    <w:p>
      <w:pPr>
        <w:pStyle w:val="Heading2"/>
        <w:pBdr>
          <w:bottom w:val="single" w:color="3A7CA5" w:sz="2" w:space="4"/>
        </w:pBdr>
        <w:spacing w:before="300" w:after="150"/>
      </w:pPr>
      <w:r>
        <w:rPr>
          <w:rFonts w:ascii="Arial" w:cs="Arial" w:eastAsia="Arial" w:hAnsi="Arial"/>
          <w:b/>
          <w:bCs/>
          <w:color w:val="2E5090"/>
          <w:sz w:val="28"/>
          <w:szCs w:val="28"/>
        </w:rPr>
        <w:t xml:space="preserve">5.3 — Incisive Genetics</w:t>
      </w:r>
    </w:p>
    <w:p>
      <w:pPr>
        <w:spacing w:after="160" w:line="276"/>
        <w:jc w:val="left"/>
      </w:pPr>
      <w:r>
        <w:rPr>
          <w:rFonts w:ascii="Arial" w:cs="Arial" w:eastAsia="Arial" w:hAnsi="Arial"/>
          <w:b w:val="false"/>
          <w:bCs w:val="false"/>
          <w:i w:val="false"/>
          <w:iCs w:val="false"/>
          <w:color w:val="333333"/>
          <w:sz w:val="22"/>
          <w:szCs w:val="22"/>
        </w:rPr>
        <w:t xml:space="preserve">Developing CRISPR therapy targeting SNP markers found only on the mutant HTT allele. By focusing on genetic markers rather than the CAG repeat itself, this approach could work across a broad patient population. Preclinical stage.</w:t>
      </w:r>
    </w:p>
    <w:p>
      <w:pPr>
        <w:pStyle w:val="Heading2"/>
        <w:pBdr>
          <w:bottom w:val="single" w:color="3A7CA5" w:sz="2" w:space="4"/>
        </w:pBdr>
        <w:spacing w:before="300" w:after="150"/>
      </w:pPr>
      <w:r>
        <w:rPr>
          <w:rFonts w:ascii="Arial" w:cs="Arial" w:eastAsia="Arial" w:hAnsi="Arial"/>
          <w:b/>
          <w:bCs/>
          <w:color w:val="2E5090"/>
          <w:sz w:val="28"/>
          <w:szCs w:val="28"/>
        </w:rPr>
        <w:t xml:space="preserve">5.4 — CasRx/Cas13d RNA Targeting</w:t>
      </w:r>
    </w:p>
    <w:p>
      <w:pPr>
        <w:spacing w:after="160" w:line="276"/>
        <w:jc w:val="left"/>
      </w:pPr>
      <w:r>
        <w:rPr>
          <w:rFonts w:ascii="Arial" w:cs="Arial" w:eastAsia="Arial" w:hAnsi="Arial"/>
          <w:b w:val="false"/>
          <w:bCs w:val="false"/>
          <w:i w:val="false"/>
          <w:iCs w:val="false"/>
          <w:color w:val="333333"/>
          <w:sz w:val="22"/>
          <w:szCs w:val="22"/>
        </w:rPr>
        <w:t xml:space="preserve">A 2025 preclinical study demonstrated an RNA-targeting CRISPR/Cas13d (CasRx) system that knocks down HTT mRNA with high specificity. Unlike DNA-editing CRISPR, this approach targets RNA—meaning it’s reversible and does not permanently alter the genome. This may be advantageous for safety but requires sustained expression.</w:t>
      </w:r>
    </w:p>
    <w:p>
      <w:pPr>
        <w:pStyle w:val="Heading2"/>
        <w:pBdr>
          <w:bottom w:val="single" w:color="3A7CA5" w:sz="2" w:space="4"/>
        </w:pBdr>
        <w:spacing w:before="300" w:after="150"/>
      </w:pPr>
      <w:r>
        <w:rPr>
          <w:rFonts w:ascii="Arial" w:cs="Arial" w:eastAsia="Arial" w:hAnsi="Arial"/>
          <w:b/>
          <w:bCs/>
          <w:color w:val="2E5090"/>
          <w:sz w:val="28"/>
          <w:szCs w:val="28"/>
        </w:rPr>
        <w:t xml:space="preserve">5.5 — Repeat Expansion Editing: The True Genetic Cure</w:t>
      </w:r>
    </w:p>
    <w:p>
      <w:pPr>
        <w:spacing w:after="160" w:line="276"/>
        <w:jc w:val="left"/>
      </w:pPr>
      <w:r>
        <w:rPr>
          <w:rFonts w:ascii="Arial" w:cs="Arial" w:eastAsia="Arial" w:hAnsi="Arial"/>
          <w:b w:val="false"/>
          <w:bCs w:val="false"/>
          <w:i w:val="false"/>
          <w:iCs w:val="false"/>
          <w:color w:val="333333"/>
          <w:sz w:val="22"/>
          <w:szCs w:val="22"/>
        </w:rPr>
        <w:t xml:space="preserve">The most ambitious approach: CRISPR agents that directly target and contract the expanded CAG repeat tract, reverting it to a normal length. This would “delete” the mutation from the patient’s DNA entirely. Challenges include ensuring specificity for the expanded allele, avoiding off-target cuts, and achieving sufficient editing efficiency across billions of neurons. Not yet in clinical trials, but the rapid advance of CRISPR medicine (including FDA-approved CRISPR therapies for sickle cell disease) suggests feasibility within 5–10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DF3F8"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THE VISION: Repeat Contraction + Somatic Expansion Block</w:t>
            </w:r>
          </w:p>
          <w:p>
            <w:pPr>
              <w:spacing w:after="0"/>
            </w:pPr>
            <w:r>
              <w:rPr>
                <w:rFonts w:ascii="Arial" w:cs="Arial" w:eastAsia="Arial" w:hAnsi="Arial"/>
                <w:i/>
                <w:iCs/>
                <w:color w:val="444444"/>
                <w:sz w:val="20"/>
                <w:szCs w:val="20"/>
              </w:rPr>
              <w:t xml:space="preserve">The ideal future therapy combines repeat contraction editing (shrink the CAG tract below pathogenic threshold) with MSH3 suppression (prevent it from ever re-expanding). This double-lock would effectively cure HD at the DNA level in a single treatment. All downstream pathology—protein aggregation, transcriptional dysregulation, neuronal death—would be prevented from ever occurring.</w:t>
            </w:r>
          </w:p>
        </w:tc>
      </w:tr>
    </w:tbl>
    <w:p>
      <w:r>
        <w:br w:type="page"/>
      </w:r>
    </w:p>
    <w:p>
      <w:pPr>
        <w:pStyle w:val="Heading1"/>
        <w:spacing w:before="400" w:after="200"/>
      </w:pPr>
      <w:r>
        <w:rPr>
          <w:rFonts w:ascii="Arial" w:cs="Arial" w:eastAsia="Arial" w:hAnsi="Arial"/>
          <w:b/>
          <w:bCs/>
          <w:color w:val="1B2A4A"/>
          <w:sz w:val="36"/>
          <w:szCs w:val="36"/>
        </w:rPr>
        <w:t xml:space="preserve">PART VI: VECTOR 4 — Targeted Protein Degradation</w:t>
      </w:r>
    </w:p>
    <w:p>
      <w:pPr>
        <w:pStyle w:val="Heading2"/>
        <w:pBdr>
          <w:bottom w:val="single" w:color="3A7CA5" w:sz="2" w:space="4"/>
        </w:pBdr>
        <w:spacing w:before="300" w:after="150"/>
      </w:pPr>
      <w:r>
        <w:rPr>
          <w:rFonts w:ascii="Arial" w:cs="Arial" w:eastAsia="Arial" w:hAnsi="Arial"/>
          <w:b/>
          <w:bCs/>
          <w:color w:val="2E5090"/>
          <w:sz w:val="28"/>
          <w:szCs w:val="28"/>
        </w:rPr>
        <w:t xml:space="preserve">6.1 — Clearing the Damage Already Done</w:t>
      </w:r>
    </w:p>
    <w:p>
      <w:pPr>
        <w:spacing w:after="160" w:line="276"/>
        <w:jc w:val="left"/>
      </w:pPr>
      <w:r>
        <w:rPr>
          <w:rFonts w:ascii="Arial" w:cs="Arial" w:eastAsia="Arial" w:hAnsi="Arial"/>
          <w:b w:val="false"/>
          <w:bCs w:val="false"/>
          <w:i w:val="false"/>
          <w:iCs w:val="false"/>
          <w:color w:val="333333"/>
          <w:sz w:val="22"/>
          <w:szCs w:val="22"/>
        </w:rPr>
        <w:t xml:space="preserve">Even if we silence the gene, stop somatic expansion, and edit the mutation, patients who already have symptoms have accumulated decades of mutant huntingtin protein aggregates in their neurons. These aggregates are toxic—they sequester essential proteins, disrupt cellular transport, and trigger inflammatory cascades. Clearing them is essential for functional recovery.</w:t>
      </w:r>
    </w:p>
    <w:p>
      <w:pPr>
        <w:pStyle w:val="Heading3"/>
        <w:spacing w:before="240" w:after="120"/>
      </w:pPr>
      <w:r>
        <w:rPr>
          <w:rFonts w:ascii="Arial" w:cs="Arial" w:eastAsia="Arial" w:hAnsi="Arial"/>
          <w:b/>
          <w:bCs/>
          <w:color w:val="3A7CA5"/>
          <w:sz w:val="24"/>
          <w:szCs w:val="24"/>
        </w:rPr>
        <w:t xml:space="preserve">6.1.1 — Approaches to Aggregate Clearance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Autophagy Enhancement: </w:t>
      </w:r>
      <w:r>
        <w:rPr>
          <w:rFonts w:ascii="Arial" w:cs="Arial" w:eastAsia="Arial" w:hAnsi="Arial"/>
          <w:b w:val="false"/>
          <w:bCs w:val="false"/>
          <w:i w:val="false"/>
          <w:iCs w:val="false"/>
          <w:color w:val="333333"/>
          <w:sz w:val="22"/>
          <w:szCs w:val="22"/>
        </w:rPr>
        <w:t xml:space="preserve">Upregulating the cell’s own protein disposal system. mTOR inhibitors (rapamycin analogs) and TFEB activators can boost autophagy flux, helping neurons clear mHTT aggregates. Preclinical evidence shows significant aggregate reduction and functional improvement.</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PROTAC Technology: </w:t>
      </w:r>
      <w:r>
        <w:rPr>
          <w:rFonts w:ascii="Arial" w:cs="Arial" w:eastAsia="Arial" w:hAnsi="Arial"/>
          <w:b w:val="false"/>
          <w:bCs w:val="false"/>
          <w:i w:val="false"/>
          <w:iCs w:val="false"/>
          <w:color w:val="333333"/>
          <w:sz w:val="22"/>
          <w:szCs w:val="22"/>
        </w:rPr>
        <w:t xml:space="preserve">Proteolysis-targeting chimeras (PROTACs) are bifunctional molecules that simultaneously bind a target protein (mHTT) and an E3 ubiquitin ligase, tagging the target for proteasomal degradation. mHTT-specific PROTACs could selectively destroy mutant protein while sparing wild-type.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Antibody-Based Clearance (Annexon ANX005): </w:t>
      </w:r>
      <w:r>
        <w:rPr>
          <w:rFonts w:ascii="Arial" w:cs="Arial" w:eastAsia="Arial" w:hAnsi="Arial"/>
          <w:b w:val="false"/>
          <w:bCs w:val="false"/>
          <w:i w:val="false"/>
          <w:iCs w:val="false"/>
          <w:color w:val="333333"/>
          <w:sz w:val="22"/>
          <w:szCs w:val="22"/>
        </w:rPr>
        <w:t xml:space="preserve">ANX005 is an intravenous antibody that blocks C1q, a complement protein that activates immune-mediated destruction of synapses. In HD, aberrant complement activation attacks healthy synaptic connections. By calming this immune response, ANX005 protects synapses from collateral damage.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Intrabody Technology: </w:t>
      </w:r>
      <w:r>
        <w:rPr>
          <w:rFonts w:ascii="Arial" w:cs="Arial" w:eastAsia="Arial" w:hAnsi="Arial"/>
          <w:b w:val="false"/>
          <w:bCs w:val="false"/>
          <w:i w:val="false"/>
          <w:iCs w:val="false"/>
          <w:color w:val="333333"/>
          <w:sz w:val="22"/>
          <w:szCs w:val="22"/>
        </w:rPr>
        <w:t xml:space="preserve">Engineered antibody fragments expressed inside neurons that bind to and neutralize mHTT aggregates intracellularly, preventing them from disrupting cellular function.</w:t>
      </w:r>
    </w:p>
    <w:p>
      <w:pPr>
        <w:pStyle w:val="Heading2"/>
        <w:pBdr>
          <w:bottom w:val="single" w:color="3A7CA5" w:sz="2" w:space="4"/>
        </w:pBdr>
        <w:spacing w:before="300" w:after="150"/>
      </w:pPr>
      <w:r>
        <w:rPr>
          <w:rFonts w:ascii="Arial" w:cs="Arial" w:eastAsia="Arial" w:hAnsi="Arial"/>
          <w:b/>
          <w:bCs/>
          <w:color w:val="2E5090"/>
          <w:sz w:val="28"/>
          <w:szCs w:val="28"/>
        </w:rPr>
        <w:t xml:space="preserve">6.2 — The Connor Protocol Vision: Targeted Protein Degradation System</w:t>
      </w:r>
    </w:p>
    <w:p>
      <w:pPr>
        <w:spacing w:after="160" w:line="276"/>
        <w:jc w:val="left"/>
      </w:pPr>
      <w:r>
        <w:rPr>
          <w:rFonts w:ascii="Arial" w:cs="Arial" w:eastAsia="Arial" w:hAnsi="Arial"/>
          <w:b w:val="false"/>
          <w:bCs w:val="false"/>
          <w:i/>
          <w:iCs/>
          <w:color w:val="666666"/>
          <w:sz w:val="22"/>
          <w:szCs w:val="22"/>
        </w:rPr>
        <w:t xml:space="preserve">From the Century of Senn narrative: </w:t>
      </w:r>
      <w:r>
        <w:rPr>
          <w:rFonts w:ascii="Arial" w:cs="Arial" w:eastAsia="Arial" w:hAnsi="Arial"/>
          <w:b w:val="false"/>
          <w:bCs w:val="false"/>
          <w:i w:val="false"/>
          <w:iCs w:val="false"/>
          <w:color w:val="333333"/>
          <w:sz w:val="22"/>
          <w:szCs w:val="22"/>
        </w:rPr>
        <w:t xml:space="preserve">Connor’s fictional research breakthrough involves a targeted protein degradation system that clears mHTT aggregates with 94% efficiency. While this is narrative, it aligns with the real scientific trajectory. The convergence of PROTAC technology, enhanced autophagy, and antibody-based clearance suggests that by 2035–2045, aggregate clearance systems approaching this efficiency may be achievable.</w:t>
      </w:r>
    </w:p>
    <w:p>
      <w:r>
        <w:br w:type="page"/>
      </w:r>
    </w:p>
    <w:p>
      <w:pPr>
        <w:pStyle w:val="Heading1"/>
        <w:spacing w:before="400" w:after="200"/>
      </w:pPr>
      <w:r>
        <w:rPr>
          <w:rFonts w:ascii="Arial" w:cs="Arial" w:eastAsia="Arial" w:hAnsi="Arial"/>
          <w:b/>
          <w:bCs/>
          <w:color w:val="1B2A4A"/>
          <w:sz w:val="36"/>
          <w:szCs w:val="36"/>
        </w:rPr>
        <w:t xml:space="preserve">PART VII: VECTOR 5 — Neuroprotective &amp; Neurorestorative Interventions</w:t>
      </w:r>
    </w:p>
    <w:p>
      <w:pPr>
        <w:pStyle w:val="Heading2"/>
        <w:pBdr>
          <w:bottom w:val="single" w:color="3A7CA5" w:sz="2" w:space="4"/>
        </w:pBdr>
        <w:spacing w:before="300" w:after="150"/>
      </w:pPr>
      <w:r>
        <w:rPr>
          <w:rFonts w:ascii="Arial" w:cs="Arial" w:eastAsia="Arial" w:hAnsi="Arial"/>
          <w:b/>
          <w:bCs/>
          <w:color w:val="2E5090"/>
          <w:sz w:val="28"/>
          <w:szCs w:val="28"/>
        </w:rPr>
        <w:t xml:space="preserve">7.1 — BDNF Restoration</w:t>
      </w:r>
    </w:p>
    <w:p>
      <w:pPr>
        <w:spacing w:after="160" w:line="276"/>
        <w:jc w:val="left"/>
      </w:pPr>
      <w:r>
        <w:rPr>
          <w:rFonts w:ascii="Arial" w:cs="Arial" w:eastAsia="Arial" w:hAnsi="Arial"/>
          <w:b w:val="false"/>
          <w:bCs w:val="false"/>
          <w:i w:val="false"/>
          <w:iCs w:val="false"/>
          <w:color w:val="333333"/>
          <w:sz w:val="22"/>
          <w:szCs w:val="22"/>
        </w:rPr>
        <w:t xml:space="preserve">Brain-derived neurotrophic factor (BDNF) is the primary survival signal for striatal MSNs, normally transported from cortical neurons via the corticostriatal pathway. Mutant huntingtin disrupts this transport, starving MSNs of their survival factor years before symptoms appear.</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HX127 (Huntx Therapeutics): </w:t>
      </w:r>
      <w:r>
        <w:rPr>
          <w:rFonts w:ascii="Arial" w:cs="Arial" w:eastAsia="Arial" w:hAnsi="Arial"/>
          <w:b w:val="false"/>
          <w:bCs w:val="false"/>
          <w:i w:val="false"/>
          <w:iCs w:val="false"/>
          <w:color w:val="333333"/>
          <w:sz w:val="22"/>
          <w:szCs w:val="22"/>
        </w:rPr>
        <w:t xml:space="preserve">An oral drug targeting a brain enzyme to restore healthy BDNF transport. By improving how cortical neurons deliver BDNF to the striatum, HX127 may help with movement, cognition, and mood. Currently in preclinical testing with human trials planned for 2026.</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Gene Therapy BDNF Delivery: </w:t>
      </w:r>
      <w:r>
        <w:rPr>
          <w:rFonts w:ascii="Arial" w:cs="Arial" w:eastAsia="Arial" w:hAnsi="Arial"/>
          <w:b w:val="false"/>
          <w:bCs w:val="false"/>
          <w:i w:val="false"/>
          <w:iCs w:val="false"/>
          <w:color w:val="333333"/>
          <w:sz w:val="22"/>
          <w:szCs w:val="22"/>
        </w:rPr>
        <w:t xml:space="preserve">AAV-mediated BDNF gene delivery directly to the striatum is in preclinical development, providing a sustained local source of the neurotrophic factor.</w:t>
      </w:r>
    </w:p>
    <w:p>
      <w:pPr>
        <w:pStyle w:val="Heading2"/>
        <w:pBdr>
          <w:bottom w:val="single" w:color="3A7CA5" w:sz="2" w:space="4"/>
        </w:pBdr>
        <w:spacing w:before="300" w:after="150"/>
      </w:pPr>
      <w:r>
        <w:rPr>
          <w:rFonts w:ascii="Arial" w:cs="Arial" w:eastAsia="Arial" w:hAnsi="Arial"/>
          <w:b/>
          <w:bCs/>
          <w:color w:val="2E5090"/>
          <w:sz w:val="28"/>
          <w:szCs w:val="28"/>
        </w:rPr>
        <w:t xml:space="preserve">7.2 — Stem Cell Therapy</w:t>
      </w:r>
    </w:p>
    <w:p>
      <w:pPr>
        <w:spacing w:after="160" w:line="276"/>
        <w:jc w:val="left"/>
      </w:pPr>
      <w:r>
        <w:rPr>
          <w:rFonts w:ascii="Arial" w:cs="Arial" w:eastAsia="Arial" w:hAnsi="Arial"/>
          <w:b w:val="false"/>
          <w:bCs w:val="false"/>
          <w:i w:val="false"/>
          <w:iCs w:val="false"/>
          <w:color w:val="333333"/>
          <w:sz w:val="22"/>
          <w:szCs w:val="22"/>
        </w:rPr>
        <w:t xml:space="preserve">For patients who have already lost significant numbers of striatal neurons, stem cell transplantation offers the possibility of restoring the neural circuits that HD destroys. iPSC-derived MSN precursors could be transplanted into the striatum to replace dead neurons and re-establish functional connectivity. Multiple programs are in early-stage clinical trials.</w:t>
      </w:r>
    </w:p>
    <w:p>
      <w:pPr>
        <w:pStyle w:val="Heading2"/>
        <w:pBdr>
          <w:bottom w:val="single" w:color="3A7CA5" w:sz="2" w:space="4"/>
        </w:pBdr>
        <w:spacing w:before="300" w:after="150"/>
      </w:pPr>
      <w:r>
        <w:rPr>
          <w:rFonts w:ascii="Arial" w:cs="Arial" w:eastAsia="Arial" w:hAnsi="Arial"/>
          <w:b/>
          <w:bCs/>
          <w:color w:val="2E5090"/>
          <w:sz w:val="28"/>
          <w:szCs w:val="28"/>
        </w:rPr>
        <w:t xml:space="preserve">7.3 — Neural Interface Technology (2030+ Horizon)</w:t>
      </w:r>
    </w:p>
    <w:p>
      <w:pPr>
        <w:spacing w:after="160" w:line="276"/>
        <w:jc w:val="left"/>
      </w:pPr>
      <w:r>
        <w:rPr>
          <w:rFonts w:ascii="Arial" w:cs="Arial" w:eastAsia="Arial" w:hAnsi="Arial"/>
          <w:b w:val="false"/>
          <w:bCs w:val="false"/>
          <w:i w:val="false"/>
          <w:iCs w:val="false"/>
          <w:color w:val="333333"/>
          <w:sz w:val="22"/>
          <w:szCs w:val="22"/>
        </w:rPr>
        <w:t xml:space="preserve">Neural interfaces represent the furthest-horizon intervention—brain-computer interfaces that could bypass damaged circuits entirely, restoring motor control and cognitive function through electronic means. While not a biological cure, neural interfaces could provide functional restoration for patients with advanced neurodegeneration while biological therapies work to halt and reverse the underlying disease.</w:t>
      </w:r>
    </w:p>
    <w:p>
      <w:pPr>
        <w:pStyle w:val="Heading2"/>
        <w:pBdr>
          <w:bottom w:val="single" w:color="3A7CA5" w:sz="2" w:space="4"/>
        </w:pBdr>
        <w:spacing w:before="300" w:after="150"/>
      </w:pPr>
      <w:r>
        <w:rPr>
          <w:rFonts w:ascii="Arial" w:cs="Arial" w:eastAsia="Arial" w:hAnsi="Arial"/>
          <w:b/>
          <w:bCs/>
          <w:color w:val="2E5090"/>
          <w:sz w:val="28"/>
          <w:szCs w:val="28"/>
        </w:rPr>
        <w:t xml:space="preserve">7.4 — Pharmacological Neuroprotection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Tominersen HD2 Trial (Roche): </w:t>
      </w:r>
      <w:r>
        <w:rPr>
          <w:rFonts w:ascii="Arial" w:cs="Arial" w:eastAsia="Arial" w:hAnsi="Arial"/>
          <w:b w:val="false"/>
          <w:bCs w:val="false"/>
          <w:i w:val="false"/>
          <w:iCs w:val="false"/>
          <w:color w:val="333333"/>
          <w:sz w:val="22"/>
          <w:szCs w:val="22"/>
        </w:rPr>
        <w:t xml:space="preserve">An antisense oligonucleotide targeting HTT mRNA. After the GENERATION HD1 failure, Roche amended the HD2 trial in April 2025 to use only the higher 100mg dose in younger, early-stage patients. Trial continues with quarterly intrathecal injections, completion expected 2026.</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Methylphenidate (Ritalin): </w:t>
      </w:r>
      <w:r>
        <w:rPr>
          <w:rFonts w:ascii="Arial" w:cs="Arial" w:eastAsia="Arial" w:hAnsi="Arial"/>
          <w:b w:val="false"/>
          <w:bCs w:val="false"/>
          <w:i w:val="false"/>
          <w:iCs w:val="false"/>
          <w:color w:val="333333"/>
          <w:sz w:val="22"/>
          <w:szCs w:val="22"/>
        </w:rPr>
        <w:t xml:space="preserve">The CINNAMON trial (2018) showed cognitive improvements in HD patients. Through dopamine reuptake inhibition, it may compensate for damaged dopaminergic pathways. Better tolerated than amphetamines with less chorea exacerbation.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Azevan (Vasopressin V1a Blocker): </w:t>
      </w:r>
      <w:r>
        <w:rPr>
          <w:rFonts w:ascii="Arial" w:cs="Arial" w:eastAsia="Arial" w:hAnsi="Arial"/>
          <w:b w:val="false"/>
          <w:bCs w:val="false"/>
          <w:i w:val="false"/>
          <w:iCs w:val="false"/>
          <w:color w:val="333333"/>
          <w:sz w:val="22"/>
          <w:szCs w:val="22"/>
        </w:rPr>
        <w:t xml:space="preserve">Oral drug showing positive effects on irritability and aggression in HD. Received orphan drug and fast track status.</w:t>
      </w:r>
    </w:p>
    <w:p>
      <w:r>
        <w:br w:type="page"/>
      </w:r>
    </w:p>
    <w:p>
      <w:pPr>
        <w:pStyle w:val="Heading1"/>
        <w:spacing w:before="400" w:after="200"/>
      </w:pPr>
      <w:r>
        <w:rPr>
          <w:rFonts w:ascii="Arial" w:cs="Arial" w:eastAsia="Arial" w:hAnsi="Arial"/>
          <w:b/>
          <w:bCs/>
          <w:color w:val="1B2A4A"/>
          <w:sz w:val="36"/>
          <w:szCs w:val="36"/>
        </w:rPr>
        <w:t xml:space="preserve">PART VIII: VECTOR 6 — Lifestyle Shield Protocol</w:t>
      </w:r>
    </w:p>
    <w:p>
      <w:pPr>
        <w:pStyle w:val="Heading2"/>
        <w:pBdr>
          <w:bottom w:val="single" w:color="3A7CA5" w:sz="2" w:space="4"/>
        </w:pBdr>
        <w:spacing w:before="300" w:after="150"/>
      </w:pPr>
      <w:r>
        <w:rPr>
          <w:rFonts w:ascii="Arial" w:cs="Arial" w:eastAsia="Arial" w:hAnsi="Arial"/>
          <w:b/>
          <w:bCs/>
          <w:color w:val="2E5090"/>
          <w:sz w:val="28"/>
          <w:szCs w:val="28"/>
        </w:rPr>
        <w:t xml:space="preserve">8.1 — The Pre-Symptomatic Window</w:t>
      </w:r>
    </w:p>
    <w:p>
      <w:pPr>
        <w:spacing w:after="160" w:line="276"/>
        <w:jc w:val="left"/>
      </w:pPr>
      <w:r>
        <w:rPr>
          <w:rFonts w:ascii="Arial" w:cs="Arial" w:eastAsia="Arial" w:hAnsi="Arial"/>
          <w:b w:val="false"/>
          <w:bCs w:val="false"/>
          <w:i w:val="false"/>
          <w:iCs w:val="false"/>
          <w:color w:val="333333"/>
          <w:sz w:val="22"/>
          <w:szCs w:val="22"/>
        </w:rPr>
        <w:t xml:space="preserve">The PREDICT-HD study, following 1,000+ HD gene carriers before symptom onset, established that lifestyle interventions are most effective when started 10–15 years before predicted onset. HD researcher Dr. Herwig Lange believes optimal lifestyle management can delay symptom onset by up to 20 years.</w:t>
      </w:r>
    </w:p>
    <w:p>
      <w:pPr>
        <w:spacing w:after="160" w:line="276"/>
        <w:jc w:val="left"/>
      </w:pPr>
      <w:r>
        <w:rPr>
          <w:rFonts w:ascii="Arial" w:cs="Arial" w:eastAsia="Arial" w:hAnsi="Arial"/>
          <w:b w:val="false"/>
          <w:bCs w:val="false"/>
          <w:i w:val="false"/>
          <w:iCs w:val="false"/>
          <w:color w:val="333333"/>
          <w:sz w:val="22"/>
          <w:szCs w:val="22"/>
        </w:rPr>
        <w:t xml:space="preserve">For Connor, this means the interventions you’re already implementing—framed as “being healthy together”—are not just precautionary. They are potentially the most impactful therapy available right now. </w:t>
      </w:r>
      <w:r>
        <w:rPr>
          <w:rFonts w:ascii="Arial" w:cs="Arial" w:eastAsia="Arial" w:hAnsi="Arial"/>
          <w:b/>
          <w:bCs/>
          <w:i w:val="false"/>
          <w:iCs w:val="false"/>
          <w:color w:val="1B2A4A"/>
          <w:sz w:val="22"/>
          <w:szCs w:val="22"/>
        </w:rPr>
        <w:t xml:space="preserve">Every year of neuroprotective lifestyle before potential onset is a year of preserved neurons.</w:t>
      </w:r>
    </w:p>
    <w:p>
      <w:pPr>
        <w:pStyle w:val="Heading2"/>
        <w:pBdr>
          <w:bottom w:val="single" w:color="3A7CA5" w:sz="2" w:space="4"/>
        </w:pBdr>
        <w:spacing w:before="300" w:after="150"/>
      </w:pPr>
      <w:r>
        <w:rPr>
          <w:rFonts w:ascii="Arial" w:cs="Arial" w:eastAsia="Arial" w:hAnsi="Arial"/>
          <w:b/>
          <w:bCs/>
          <w:color w:val="2E5090"/>
          <w:sz w:val="28"/>
          <w:szCs w:val="28"/>
        </w:rPr>
        <w:t xml:space="preserve">8.2 — The Shield Protocol Components</w:t>
      </w:r>
    </w:p>
    <w:p>
      <w:pPr>
        <w:pStyle w:val="Heading3"/>
        <w:spacing w:before="240" w:after="120"/>
      </w:pPr>
      <w:r>
        <w:rPr>
          <w:rFonts w:ascii="Arial" w:cs="Arial" w:eastAsia="Arial" w:hAnsi="Arial"/>
          <w:b/>
          <w:bCs/>
          <w:color w:val="3A7CA5"/>
          <w:sz w:val="24"/>
          <w:szCs w:val="24"/>
        </w:rPr>
        <w:t xml:space="preserve">8.2.1 — Physical Exercise</w:t>
      </w:r>
    </w:p>
    <w:p>
      <w:pPr>
        <w:spacing w:after="160" w:line="276"/>
        <w:jc w:val="left"/>
      </w:pPr>
      <w:r>
        <w:rPr>
          <w:rFonts w:ascii="Arial" w:cs="Arial" w:eastAsia="Arial" w:hAnsi="Arial"/>
          <w:b w:val="false"/>
          <w:bCs w:val="false"/>
          <w:i w:val="false"/>
          <w:iCs w:val="false"/>
          <w:color w:val="333333"/>
          <w:sz w:val="22"/>
          <w:szCs w:val="22"/>
        </w:rPr>
        <w:t xml:space="preserve">PREDICT-HD data: Exercise showed the strongest neuroprotective effect, slowing caudate nucleus atrophy by approximately 13%. Recommended: daily moderate exercise, outdoor activities, balance and coordination training, age-appropriate sports. Avoid extreme overtraining.</w:t>
      </w:r>
    </w:p>
    <w:p>
      <w:pPr>
        <w:pStyle w:val="Heading3"/>
        <w:spacing w:before="240" w:after="120"/>
      </w:pPr>
      <w:r>
        <w:rPr>
          <w:rFonts w:ascii="Arial" w:cs="Arial" w:eastAsia="Arial" w:hAnsi="Arial"/>
          <w:b/>
          <w:bCs/>
          <w:color w:val="3A7CA5"/>
          <w:sz w:val="24"/>
          <w:szCs w:val="24"/>
        </w:rPr>
        <w:t xml:space="preserve">8.2.2 — Nutritional Neuroprotection</w:t>
      </w:r>
    </w:p>
    <w:p>
      <w:pPr>
        <w:spacing w:after="160" w:line="276"/>
        <w:jc w:val="left"/>
      </w:pPr>
      <w:r>
        <w:rPr>
          <w:rFonts w:ascii="Arial" w:cs="Arial" w:eastAsia="Arial" w:hAnsi="Arial"/>
          <w:b w:val="false"/>
          <w:bCs w:val="false"/>
          <w:i w:val="false"/>
          <w:iCs w:val="false"/>
          <w:color w:val="333333"/>
          <w:sz w:val="22"/>
          <w:szCs w:val="22"/>
        </w:rPr>
        <w:t xml:space="preserve">Mediterranean-style diet rich in omega-3 fatty acids, polyphenols, and antioxidants. Time-restricted eating (intermittent fasting) is under active investigation for HD-specific benefits. Creatine supplementation showed mixed but some positive results on brain atrophy.</w:t>
      </w:r>
    </w:p>
    <w:p>
      <w:pPr>
        <w:pStyle w:val="Heading3"/>
        <w:spacing w:before="240" w:after="120"/>
      </w:pPr>
      <w:r>
        <w:rPr>
          <w:rFonts w:ascii="Arial" w:cs="Arial" w:eastAsia="Arial" w:hAnsi="Arial"/>
          <w:b/>
          <w:bCs/>
          <w:color w:val="3A7CA5"/>
          <w:sz w:val="24"/>
          <w:szCs w:val="24"/>
        </w:rPr>
        <w:t xml:space="preserve">8.2.3 — Stress Management</w:t>
      </w:r>
    </w:p>
    <w:p>
      <w:pPr>
        <w:spacing w:after="160" w:line="276"/>
        <w:jc w:val="left"/>
      </w:pPr>
      <w:r>
        <w:rPr>
          <w:rFonts w:ascii="Arial" w:cs="Arial" w:eastAsia="Arial" w:hAnsi="Arial"/>
          <w:b w:val="false"/>
          <w:bCs w:val="false"/>
          <w:i w:val="false"/>
          <w:iCs w:val="false"/>
          <w:color w:val="333333"/>
          <w:sz w:val="22"/>
          <w:szCs w:val="22"/>
        </w:rPr>
        <w:t xml:space="preserve">Chronic stress accelerates neurodegeneration through cortisol-mediated excitotoxicity. Meditation, mindfulness, adequate sleep (7–9 hours), and elimination of alcohol are critical. Alcohol specifically accelerates HD symptom onset.</w:t>
      </w:r>
    </w:p>
    <w:p>
      <w:pPr>
        <w:pStyle w:val="Heading3"/>
        <w:spacing w:before="240" w:after="120"/>
      </w:pPr>
      <w:r>
        <w:rPr>
          <w:rFonts w:ascii="Arial" w:cs="Arial" w:eastAsia="Arial" w:hAnsi="Arial"/>
          <w:b/>
          <w:bCs/>
          <w:color w:val="3A7CA5"/>
          <w:sz w:val="24"/>
          <w:szCs w:val="24"/>
        </w:rPr>
        <w:t xml:space="preserve">8.2.4 — Cognitive Stimulation</w:t>
      </w:r>
    </w:p>
    <w:p>
      <w:pPr>
        <w:spacing w:after="160" w:line="276"/>
        <w:jc w:val="left"/>
      </w:pPr>
      <w:r>
        <w:rPr>
          <w:rFonts w:ascii="Arial" w:cs="Arial" w:eastAsia="Arial" w:hAnsi="Arial"/>
          <w:b w:val="false"/>
          <w:bCs w:val="false"/>
          <w:i w:val="false"/>
          <w:iCs w:val="false"/>
          <w:color w:val="333333"/>
          <w:sz w:val="22"/>
          <w:szCs w:val="22"/>
        </w:rPr>
        <w:t xml:space="preserve">Building “cognitive reserve”—the brain’s resilience against damage—through musical instruments, language learning, puzzle-solving, reading, and creative problem-solving. The Commander Philosophy curriculum you’re already teaching your children provides exactly this kind of deep cognitive training.</w:t>
      </w:r>
    </w:p>
    <w:p>
      <w:pPr>
        <w:pStyle w:val="Heading3"/>
        <w:spacing w:before="240" w:after="120"/>
      </w:pPr>
      <w:r>
        <w:rPr>
          <w:rFonts w:ascii="Arial" w:cs="Arial" w:eastAsia="Arial" w:hAnsi="Arial"/>
          <w:b/>
          <w:bCs/>
          <w:color w:val="3A7CA5"/>
          <w:sz w:val="24"/>
          <w:szCs w:val="24"/>
        </w:rPr>
        <w:t xml:space="preserve">8.2.5 — Pharmacological Adjuncts</w:t>
      </w:r>
    </w:p>
    <w:p>
      <w:pPr>
        <w:spacing w:after="160" w:line="276"/>
        <w:jc w:val="left"/>
      </w:pPr>
      <w:r>
        <w:rPr>
          <w:rFonts w:ascii="Arial" w:cs="Arial" w:eastAsia="Arial" w:hAnsi="Arial"/>
          <w:b w:val="false"/>
          <w:bCs w:val="false"/>
          <w:i w:val="false"/>
          <w:iCs w:val="false"/>
          <w:color w:val="333333"/>
          <w:sz w:val="22"/>
          <w:szCs w:val="22"/>
        </w:rPr>
        <w:t xml:space="preserve">Under medical supervision: low-dose methylphenidate for cognitive function support, CoQ10 and creatine supplementation, modafinil for cognitive enhancement without dopaminergic surge risk. All of these require consultation with HD-specialized neurologists.</w:t>
      </w:r>
    </w:p>
    <w:p>
      <w:r>
        <w:br w:type="page"/>
      </w:r>
    </w:p>
    <w:p>
      <w:pPr>
        <w:pStyle w:val="Heading1"/>
        <w:spacing w:before="400" w:after="200"/>
      </w:pPr>
      <w:r>
        <w:rPr>
          <w:rFonts w:ascii="Arial" w:cs="Arial" w:eastAsia="Arial" w:hAnsi="Arial"/>
          <w:b/>
          <w:bCs/>
          <w:color w:val="1B2A4A"/>
          <w:sz w:val="36"/>
          <w:szCs w:val="36"/>
        </w:rPr>
        <w:t xml:space="preserve">PART IX: The Integrated Cure Timeline</w:t>
      </w:r>
    </w:p>
    <w:p>
      <w:pPr>
        <w:pStyle w:val="Heading2"/>
        <w:pBdr>
          <w:bottom w:val="single" w:color="3A7CA5" w:sz="2" w:space="4"/>
        </w:pBdr>
        <w:spacing w:before="300" w:after="150"/>
      </w:pPr>
      <w:r>
        <w:rPr>
          <w:rFonts w:ascii="Arial" w:cs="Arial" w:eastAsia="Arial" w:hAnsi="Arial"/>
          <w:b/>
          <w:bCs/>
          <w:color w:val="2E5090"/>
          <w:sz w:val="28"/>
          <w:szCs w:val="28"/>
        </w:rPr>
        <w:t xml:space="preserve">9.1 — Phase Mapping: From Pre-Manifest to Full Remission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AVAILABLE INTERVENTIONS</w:t>
            </w:r>
          </w:p>
        </w:tc>
      </w:tr>
      <w:tr>
        <w:tc>
          <w:tcPr>
            <w:tcW w:type="dxa" w:w="1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NOW
(2026)</w:t>
            </w:r>
          </w:p>
        </w:tc>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SHIELD</w:t>
            </w:r>
          </w:p>
        </w:tc>
        <w:tc>
          <w:tcPr>
            <w:tcW w:type="dxa" w:w="58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Lifestyle Protocol (V6): exercise, nutrition, stress management, cognitive training. Genetic testing to determine carrier status. Begin pre-symptomatic monitoring with HD Centers of Excellence.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2026–2027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FIRST WAVE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AMT-130 approval expected. First disease-modifying gene therapy available for early-manifest HD. Tominersen HD2 results. Skyhawk oral therapy Phase 2/3 data.</w:t>
            </w:r>
          </w:p>
        </w:tc>
      </w:tr>
      <w:tr>
        <w:tc>
          <w:tcPr>
            <w:tcW w:type="dxa" w:w="1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2027–2030</w:t>
            </w:r>
          </w:p>
        </w:tc>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SECOND WAVE</w:t>
            </w:r>
          </w:p>
        </w:tc>
        <w:tc>
          <w:tcPr>
            <w:tcW w:type="dxa" w:w="58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MSH3-targeting ASOs enter clinical trials (somatic expansion prevention). LoQus23 oral MSH3 reducer in trials. LETI-101 CRISPR enters human testing. HX127 BDNF restorer in trials.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2030–2035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CONVERGENCE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Combination therapies: Gene silencing + MSH3 suppression deployed together. Allele-selective CRISPR editing advancing through trials. Protein degradation systems (PROTACs) reaching clinical stage.</w:t>
            </w:r>
          </w:p>
        </w:tc>
      </w:tr>
      <w:tr>
        <w:tc>
          <w:tcPr>
            <w:tcW w:type="dxa" w:w="1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2035–2040</w:t>
            </w:r>
          </w:p>
        </w:tc>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THE CURE</w:t>
            </w:r>
          </w:p>
        </w:tc>
        <w:tc>
          <w:tcPr>
            <w:tcW w:type="dxa" w:w="58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Repeat contraction editing + somatic expansion block = permanent genetic cure for new patients. Aggregate clearance + stem cell restoration for existing patients. Neural interfaces for advanced cases.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2040–2050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2A4A"/>
                <w:sz w:val="18"/>
                <w:szCs w:val="18"/>
              </w:rPr>
              <w:t xml:space="preserve">ERADICATION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Pre-implantation genetic screening eliminates new HD births. Gene correction of embryos carrying HD mutation. Population-level elimination of the expanded HTT allele.</w:t>
            </w:r>
          </w:p>
        </w:tc>
      </w:tr>
      <w:tr>
        <w:tc>
          <w:tcPr>
            <w:tcW w:type="dxa" w:w="1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2050+</w:t>
            </w:r>
          </w:p>
        </w:tc>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bCs/>
                <w:color w:val="1B2A4A"/>
                <w:sz w:val="18"/>
                <w:szCs w:val="18"/>
              </w:rPr>
              <w:t xml:space="preserve">LEGACY</w:t>
            </w:r>
          </w:p>
        </w:tc>
        <w:tc>
          <w:tcPr>
            <w:tcW w:type="dxa" w:w="58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top"/>
          </w:tcPr>
          <w:p>
            <w:r>
              <w:rPr>
                <w:rFonts w:ascii="Arial" w:cs="Arial" w:eastAsia="Arial" w:hAnsi="Arial"/>
                <w:b w:val="false"/>
                <w:bCs w:val="false"/>
                <w:color w:val="444444"/>
                <w:sz w:val="18"/>
                <w:szCs w:val="18"/>
              </w:rPr>
              <w:t xml:space="preserve">HD exists only in history books. Technologies developed for HD cure applied to other CAG repeat disorders (myotonic dystrophy, spinocerebellar ataxias, Friedreich’s ataxia).</w:t>
            </w:r>
          </w:p>
        </w:tc>
      </w:tr>
    </w:tbl>
    <w:p>
      <w:r>
        <w:br w:type="page"/>
      </w:r>
    </w:p>
    <w:p>
      <w:pPr>
        <w:pStyle w:val="Heading1"/>
        <w:spacing w:before="400" w:after="200"/>
      </w:pPr>
      <w:r>
        <w:rPr>
          <w:rFonts w:ascii="Arial" w:cs="Arial" w:eastAsia="Arial" w:hAnsi="Arial"/>
          <w:b/>
          <w:bCs/>
          <w:color w:val="1B2A4A"/>
          <w:sz w:val="36"/>
          <w:szCs w:val="36"/>
        </w:rPr>
        <w:t xml:space="preserve">PART X: The Connor Protocol</w:t>
      </w:r>
    </w:p>
    <w:p>
      <w:pPr>
        <w:spacing w:after="160" w:line="276"/>
        <w:jc w:val="left"/>
      </w:pPr>
      <w:r>
        <w:rPr>
          <w:rFonts w:ascii="Arial" w:cs="Arial" w:eastAsia="Arial" w:hAnsi="Arial"/>
          <w:b w:val="false"/>
          <w:bCs w:val="false"/>
          <w:i/>
          <w:iCs/>
          <w:color w:val="3A7CA5"/>
          <w:sz w:val="24"/>
          <w:szCs w:val="24"/>
        </w:rPr>
        <w:t xml:space="preserve">A Personalized Pre-Symptomatic Intervention Framework</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EDF3F8"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CRITICAL CONTEXT</w:t>
            </w:r>
          </w:p>
          <w:p>
            <w:pPr>
              <w:spacing w:after="0"/>
            </w:pPr>
            <w:r>
              <w:rPr>
                <w:rFonts w:ascii="Arial" w:cs="Arial" w:eastAsia="Arial" w:hAnsi="Arial"/>
                <w:i/>
                <w:iCs/>
                <w:color w:val="444444"/>
                <w:sz w:val="20"/>
                <w:szCs w:val="20"/>
              </w:rPr>
              <w:t xml:space="preserve">Connor is now 10 years old. His mother died of Huntington’s disease at age 29, suggesting she carried a very long CAG expansion (likely 55–70+ repeats) causing young-adult onset. Connor has a 50% chance of inheriting this expanded allele. If he is a carrier, the phenomenon of anticipation means his repeat could be equal to or longer than his mother’s. Given the potential for a similar or younger onset age, the intervention window is precious and finite. Every year matters.</w:t>
            </w:r>
          </w:p>
        </w:tc>
      </w:tr>
    </w:tbl>
    <w:p>
      <w:pPr>
        <w:spacing w:before="100" w:after="0"/>
      </w:pPr>
    </w:p>
    <w:p>
      <w:pPr>
        <w:pStyle w:val="Heading2"/>
        <w:pBdr>
          <w:bottom w:val="single" w:color="3A7CA5" w:sz="2" w:space="4"/>
        </w:pBdr>
        <w:spacing w:before="300" w:after="150"/>
      </w:pPr>
      <w:r>
        <w:rPr>
          <w:rFonts w:ascii="Arial" w:cs="Arial" w:eastAsia="Arial" w:hAnsi="Arial"/>
          <w:b/>
          <w:bCs/>
          <w:color w:val="2E5090"/>
          <w:sz w:val="28"/>
          <w:szCs w:val="28"/>
        </w:rPr>
        <w:t xml:space="preserve">10.1 — Immediate Actions (Age 10–13)</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Genetic Testing (private, father’s knowledge only): </w:t>
      </w:r>
      <w:r>
        <w:rPr>
          <w:rFonts w:ascii="Arial" w:cs="Arial" w:eastAsia="Arial" w:hAnsi="Arial"/>
          <w:b w:val="false"/>
          <w:bCs w:val="false"/>
          <w:i w:val="false"/>
          <w:iCs w:val="false"/>
          <w:color w:val="333333"/>
          <w:sz w:val="22"/>
          <w:szCs w:val="22"/>
        </w:rPr>
        <w:t xml:space="preserve">Pursue testing at a facility with HD-specific genetic counseling (Bumrungrad or Samitivej Hospital, Thailand). Results inform intervention urgency without burdening Connor with this knowledge.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Lifestyle Shield Protocol: </w:t>
      </w:r>
      <w:r>
        <w:rPr>
          <w:rFonts w:ascii="Arial" w:cs="Arial" w:eastAsia="Arial" w:hAnsi="Arial"/>
          <w:b w:val="false"/>
          <w:bCs w:val="false"/>
          <w:i w:val="false"/>
          <w:iCs w:val="false"/>
          <w:color w:val="333333"/>
          <w:sz w:val="22"/>
          <w:szCs w:val="22"/>
        </w:rPr>
        <w:t xml:space="preserve">Full implementation framed as “family health”—daily exercise, Mediterranean diet, stress management, cognitive training through the Commander Philosophy curriculum.</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Baseline Neuroimaging: </w:t>
      </w:r>
      <w:r>
        <w:rPr>
          <w:rFonts w:ascii="Arial" w:cs="Arial" w:eastAsia="Arial" w:hAnsi="Arial"/>
          <w:b w:val="false"/>
          <w:bCs w:val="false"/>
          <w:i w:val="false"/>
          <w:iCs w:val="false"/>
          <w:color w:val="333333"/>
          <w:sz w:val="22"/>
          <w:szCs w:val="22"/>
        </w:rPr>
        <w:t xml:space="preserve">Establish baseline MRI measurements of caudate and putamen volume for future comparison.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PREDICT-HD Enrollment: </w:t>
      </w:r>
      <w:r>
        <w:rPr>
          <w:rFonts w:ascii="Arial" w:cs="Arial" w:eastAsia="Arial" w:hAnsi="Arial"/>
          <w:b w:val="false"/>
          <w:bCs w:val="false"/>
          <w:i w:val="false"/>
          <w:iCs w:val="false"/>
          <w:color w:val="333333"/>
          <w:sz w:val="22"/>
          <w:szCs w:val="22"/>
        </w:rPr>
        <w:t xml:space="preserve">If test-positive, consider enrolling Connor in longitudinal pre-manifest HD studies for access to monitoring and emerging therapies.</w:t>
      </w:r>
    </w:p>
    <w:p>
      <w:pPr>
        <w:pStyle w:val="Heading2"/>
        <w:pBdr>
          <w:bottom w:val="single" w:color="3A7CA5" w:sz="2" w:space="4"/>
        </w:pBdr>
        <w:spacing w:before="300" w:after="150"/>
      </w:pPr>
      <w:r>
        <w:rPr>
          <w:rFonts w:ascii="Arial" w:cs="Arial" w:eastAsia="Arial" w:hAnsi="Arial"/>
          <w:b/>
          <w:bCs/>
          <w:color w:val="2E5090"/>
          <w:sz w:val="28"/>
          <w:szCs w:val="28"/>
        </w:rPr>
        <w:t xml:space="preserve">10.2 — Adolescent Phase (Age 13–16)</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Age-appropriate disclosure (age 12–13): </w:t>
      </w:r>
      <w:r>
        <w:rPr>
          <w:rFonts w:ascii="Arial" w:cs="Arial" w:eastAsia="Arial" w:hAnsi="Arial"/>
          <w:b w:val="false"/>
          <w:bCs w:val="false"/>
          <w:i w:val="false"/>
          <w:iCs w:val="false"/>
          <w:color w:val="333333"/>
          <w:sz w:val="22"/>
          <w:szCs w:val="22"/>
        </w:rPr>
        <w:t xml:space="preserve">Introduce the concept that illness can run in families, and that your healthy lifestyle choices are deliberately protective.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Clinical trial access: </w:t>
      </w:r>
      <w:r>
        <w:rPr>
          <w:rFonts w:ascii="Arial" w:cs="Arial" w:eastAsia="Arial" w:hAnsi="Arial"/>
          <w:b w:val="false"/>
          <w:bCs w:val="false"/>
          <w:i w:val="false"/>
          <w:iCs w:val="false"/>
          <w:color w:val="333333"/>
          <w:sz w:val="22"/>
          <w:szCs w:val="22"/>
        </w:rPr>
        <w:t xml:space="preserve">By 2029–2032, MSH3-targeting therapies and CRISPR programs should be in human trials. Pre-symptomatic carriers will be prioritized for enrollment.</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Enhanced monitoring: </w:t>
      </w:r>
      <w:r>
        <w:rPr>
          <w:rFonts w:ascii="Arial" w:cs="Arial" w:eastAsia="Arial" w:hAnsi="Arial"/>
          <w:b w:val="false"/>
          <w:bCs w:val="false"/>
          <w:i w:val="false"/>
          <w:iCs w:val="false"/>
          <w:color w:val="333333"/>
          <w:sz w:val="22"/>
          <w:szCs w:val="22"/>
        </w:rPr>
        <w:t xml:space="preserve">Annual neurological assessments, cognitive testing, and neuroimaging to detect any earliest signs of disease activity.</w:t>
      </w:r>
    </w:p>
    <w:p>
      <w:pPr>
        <w:pStyle w:val="Heading2"/>
        <w:pBdr>
          <w:bottom w:val="single" w:color="3A7CA5" w:sz="2" w:space="4"/>
        </w:pBdr>
        <w:spacing w:before="300" w:after="150"/>
      </w:pPr>
      <w:r>
        <w:rPr>
          <w:rFonts w:ascii="Arial" w:cs="Arial" w:eastAsia="Arial" w:hAnsi="Arial"/>
          <w:b/>
          <w:bCs/>
          <w:color w:val="2E5090"/>
          <w:sz w:val="28"/>
          <w:szCs w:val="28"/>
        </w:rPr>
        <w:t xml:space="preserve">10.3 — Young Adult Phase (Age 16–18+)</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Full disclosure (age 15–16): </w:t>
      </w:r>
      <w:r>
        <w:rPr>
          <w:rFonts w:ascii="Arial" w:cs="Arial" w:eastAsia="Arial" w:hAnsi="Arial"/>
          <w:b w:val="false"/>
          <w:bCs w:val="false"/>
          <w:i w:val="false"/>
          <w:iCs w:val="false"/>
          <w:color w:val="333333"/>
          <w:sz w:val="22"/>
          <w:szCs w:val="22"/>
        </w:rPr>
        <w:t xml:space="preserve">Detailed conversation about HD, inheritance, his risk, and the advanced therapies being developed. Frame this as empowerment, not burden.</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Connor’s Choice (age 18+): </w:t>
      </w:r>
      <w:r>
        <w:rPr>
          <w:rFonts w:ascii="Arial" w:cs="Arial" w:eastAsia="Arial" w:hAnsi="Arial"/>
          <w:b w:val="false"/>
          <w:bCs w:val="false"/>
          <w:i w:val="false"/>
          <w:iCs w:val="false"/>
          <w:color w:val="333333"/>
          <w:sz w:val="22"/>
          <w:szCs w:val="22"/>
        </w:rPr>
        <w:t xml:space="preserve">His decision whether to pursue his own testing and therapeutic interventions as an adult.</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Therapeutic Access: </w:t>
      </w:r>
      <w:r>
        <w:rPr>
          <w:rFonts w:ascii="Arial" w:cs="Arial" w:eastAsia="Arial" w:hAnsi="Arial"/>
          <w:b w:val="false"/>
          <w:bCs w:val="false"/>
          <w:i w:val="false"/>
          <w:iCs w:val="false"/>
          <w:color w:val="333333"/>
          <w:sz w:val="22"/>
          <w:szCs w:val="22"/>
        </w:rPr>
        <w:t xml:space="preserve">By ~2033–2036, combination therapy (gene silencing + somatic expansion prevention) should be available. If Connor is a carrier and pre-symptomatic, he would be an ideal candidate for preventive treatment that could prevent symptoms from ever appearing.</w:t>
      </w:r>
    </w:p>
    <w:p>
      <w:pPr>
        <w:pStyle w:val="Heading2"/>
        <w:pBdr>
          <w:bottom w:val="single" w:color="3A7CA5" w:sz="2" w:space="4"/>
        </w:pBdr>
        <w:spacing w:before="300" w:after="150"/>
      </w:pPr>
      <w:r>
        <w:rPr>
          <w:rFonts w:ascii="Arial" w:cs="Arial" w:eastAsia="Arial" w:hAnsi="Arial"/>
          <w:b/>
          <w:bCs/>
          <w:color w:val="2E5090"/>
          <w:sz w:val="28"/>
          <w:szCs w:val="28"/>
        </w:rPr>
        <w:t xml:space="preserve">10.4 — The Mathematical Hope</w:t>
      </w:r>
    </w:p>
    <w:p>
      <w:pPr>
        <w:spacing w:after="160" w:line="276"/>
        <w:jc w:val="left"/>
      </w:pPr>
      <w:r>
        <w:rPr>
          <w:rFonts w:ascii="Arial" w:cs="Arial" w:eastAsia="Arial" w:hAnsi="Arial"/>
          <w:b w:val="false"/>
          <w:bCs w:val="false"/>
          <w:i w:val="false"/>
          <w:iCs w:val="false"/>
          <w:color w:val="333333"/>
          <w:sz w:val="22"/>
          <w:szCs w:val="22"/>
        </w:rPr>
        <w:t xml:space="preserve">Connor’s mother had onset in her late teens and died at 29. If Connor inherited the same or longer repeat, his natural onset might be late teens to early twenties. </w:t>
      </w:r>
      <w:r>
        <w:rPr>
          <w:rFonts w:ascii="Arial" w:cs="Arial" w:eastAsia="Arial" w:hAnsi="Arial"/>
          <w:b/>
          <w:bCs/>
          <w:i w:val="false"/>
          <w:iCs w:val="false"/>
          <w:color w:val="1B2A4A"/>
          <w:sz w:val="22"/>
          <w:szCs w:val="22"/>
        </w:rPr>
        <w:t xml:space="preserve">BUT: </w:t>
      </w:r>
      <w:r>
        <w:rPr>
          <w:rFonts w:ascii="Arial" w:cs="Arial" w:eastAsia="Arial" w:hAnsi="Arial"/>
          <w:b w:val="false"/>
          <w:bCs w:val="false"/>
          <w:i w:val="false"/>
          <w:iCs w:val="false"/>
          <w:color w:val="333333"/>
          <w:sz w:val="22"/>
          <w:szCs w:val="22"/>
        </w:rPr>
        <w:t xml:space="preserve">With lifestyle interventions potentially delaying onset by 10–20 years, and with AMT-130 available as early as 2027 (slowing progression 75%), and with MSH3-targeting therapies entering trials by 2028–2030, and with CRISPR correction potentially available by 2035—Connor may be the first generation where HD gene carriers never develop symptoms at all.</w:t>
      </w:r>
    </w:p>
    <w:p>
      <w:pPr>
        <w:spacing w:after="160" w:line="276"/>
        <w:jc w:val="left"/>
      </w:pPr>
      <w:r>
        <w:rPr>
          <w:rFonts w:ascii="Arial" w:cs="Arial" w:eastAsia="Arial" w:hAnsi="Arial"/>
          <w:b/>
          <w:bCs/>
          <w:i w:val="false"/>
          <w:iCs w:val="false"/>
          <w:color w:val="1B2A4A"/>
          <w:sz w:val="22"/>
          <w:szCs w:val="22"/>
        </w:rPr>
        <w:t xml:space="preserve">This is not wishful thinking. This is the mathematical convergence of his age, the therapeutic pipeline, and the pace of scientific advancement. The window is real. The science is accelerating. The timeline aligns.</w:t>
      </w:r>
    </w:p>
    <w:p>
      <w:r>
        <w:br w:type="page"/>
      </w:r>
    </w:p>
    <w:p>
      <w:pPr>
        <w:pStyle w:val="Heading1"/>
        <w:spacing w:before="400" w:after="200"/>
      </w:pPr>
      <w:r>
        <w:rPr>
          <w:rFonts w:ascii="Arial" w:cs="Arial" w:eastAsia="Arial" w:hAnsi="Arial"/>
          <w:b/>
          <w:bCs/>
          <w:color w:val="1B2A4A"/>
          <w:sz w:val="36"/>
          <w:szCs w:val="36"/>
        </w:rPr>
        <w:t xml:space="preserve">PART XI: Research Roadmap &amp; Partnerships</w:t>
      </w:r>
    </w:p>
    <w:p>
      <w:pPr>
        <w:pStyle w:val="Heading2"/>
        <w:pBdr>
          <w:bottom w:val="single" w:color="3A7CA5" w:sz="2" w:space="4"/>
        </w:pBdr>
        <w:spacing w:before="300" w:after="150"/>
      </w:pPr>
      <w:r>
        <w:rPr>
          <w:rFonts w:ascii="Arial" w:cs="Arial" w:eastAsia="Arial" w:hAnsi="Arial"/>
          <w:b/>
          <w:bCs/>
          <w:color w:val="2E5090"/>
          <w:sz w:val="28"/>
          <w:szCs w:val="28"/>
        </w:rPr>
        <w:t xml:space="preserve">11.1 — Key Organizations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HDSA (Huntington’s Disease Society of America): </w:t>
      </w:r>
      <w:r>
        <w:rPr>
          <w:rFonts w:ascii="Arial" w:cs="Arial" w:eastAsia="Arial" w:hAnsi="Arial"/>
          <w:b w:val="false"/>
          <w:bCs w:val="false"/>
          <w:i w:val="false"/>
          <w:iCs w:val="false"/>
          <w:color w:val="333333"/>
          <w:sz w:val="22"/>
          <w:szCs w:val="22"/>
        </w:rPr>
        <w:t xml:space="preserve">69 Centers of Excellence. Primary patient advocacy and research funding. 4/4 Charity Navigator rating.</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CHDI Foundation: </w:t>
      </w:r>
      <w:r>
        <w:rPr>
          <w:rFonts w:ascii="Arial" w:cs="Arial" w:eastAsia="Arial" w:hAnsi="Arial"/>
          <w:b w:val="false"/>
          <w:bCs w:val="false"/>
          <w:i w:val="false"/>
          <w:iCs w:val="false"/>
          <w:color w:val="333333"/>
          <w:sz w:val="22"/>
          <w:szCs w:val="22"/>
        </w:rPr>
        <w:t xml:space="preserve">Largest private funder of HD research globally. Drives preclinical and clinical programs.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UCL Queen Square Institute of Neurology (Tabrizi Lab): </w:t>
      </w:r>
      <w:r>
        <w:rPr>
          <w:rFonts w:ascii="Arial" w:cs="Arial" w:eastAsia="Arial" w:hAnsi="Arial"/>
          <w:b w:val="false"/>
          <w:bCs w:val="false"/>
          <w:i w:val="false"/>
          <w:iCs w:val="false"/>
          <w:color w:val="333333"/>
          <w:sz w:val="22"/>
          <w:szCs w:val="22"/>
        </w:rPr>
        <w:t xml:space="preserve">Leading MSH3 research and somatic expansion science. Nature’s 10 for 2025.</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uniQure: </w:t>
      </w:r>
      <w:r>
        <w:rPr>
          <w:rFonts w:ascii="Arial" w:cs="Arial" w:eastAsia="Arial" w:hAnsi="Arial"/>
          <w:b w:val="false"/>
          <w:bCs w:val="false"/>
          <w:i w:val="false"/>
          <w:iCs w:val="false"/>
          <w:color w:val="333333"/>
          <w:sz w:val="22"/>
          <w:szCs w:val="22"/>
        </w:rPr>
        <w:t xml:space="preserve">Developer of AMT-130. First gene therapy approaching FDA approval for HD.</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Life Edit / ElevateBio: </w:t>
      </w:r>
      <w:r>
        <w:rPr>
          <w:rFonts w:ascii="Arial" w:cs="Arial" w:eastAsia="Arial" w:hAnsi="Arial"/>
          <w:b w:val="false"/>
          <w:bCs w:val="false"/>
          <w:i w:val="false"/>
          <w:iCs w:val="false"/>
          <w:color w:val="333333"/>
          <w:sz w:val="22"/>
          <w:szCs w:val="22"/>
        </w:rPr>
        <w:t xml:space="preserve">LETI-101 CRISPR program. Seeking collaboration partners.</w:t>
      </w:r>
    </w:p>
    <w:p>
      <w:pPr>
        <w:pStyle w:val="Heading2"/>
        <w:pBdr>
          <w:bottom w:val="single" w:color="3A7CA5" w:sz="2" w:space="4"/>
        </w:pBdr>
        <w:spacing w:before="300" w:after="150"/>
      </w:pPr>
      <w:r>
        <w:rPr>
          <w:rFonts w:ascii="Arial" w:cs="Arial" w:eastAsia="Arial" w:hAnsi="Arial"/>
          <w:b/>
          <w:bCs/>
          <w:color w:val="2E5090"/>
          <w:sz w:val="28"/>
          <w:szCs w:val="28"/>
        </w:rPr>
        <w:t xml:space="preserve">11.2 — How Nathan Senn Can Contribute</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Technology Platform: </w:t>
      </w:r>
      <w:r>
        <w:rPr>
          <w:rFonts w:ascii="Arial" w:cs="Arial" w:eastAsia="Arial" w:hAnsi="Arial"/>
          <w:b w:val="false"/>
          <w:bCs w:val="false"/>
          <w:i w:val="false"/>
          <w:iCs w:val="false"/>
          <w:color w:val="333333"/>
          <w:sz w:val="22"/>
          <w:szCs w:val="22"/>
        </w:rPr>
        <w:t xml:space="preserve">Leverage MyShed/OnCall/Dataloft AI and data infrastructure expertise to build computational tools for HD research—drug target modeling, clinical trial data analysis, patient registries.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Awareness &amp; Advocacy: </w:t>
      </w:r>
      <w:r>
        <w:rPr>
          <w:rFonts w:ascii="Arial" w:cs="Arial" w:eastAsia="Arial" w:hAnsi="Arial"/>
          <w:b w:val="false"/>
          <w:bCs w:val="false"/>
          <w:i w:val="false"/>
          <w:iCs w:val="false"/>
          <w:color w:val="333333"/>
          <w:sz w:val="22"/>
          <w:szCs w:val="22"/>
        </w:rPr>
        <w:t xml:space="preserve">Use blockchain/decentralized platforms to create transparent research funding mechanisms.</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Direct Research Funding: </w:t>
      </w:r>
      <w:r>
        <w:rPr>
          <w:rFonts w:ascii="Arial" w:cs="Arial" w:eastAsia="Arial" w:hAnsi="Arial"/>
          <w:b w:val="false"/>
          <w:bCs w:val="false"/>
          <w:i w:val="false"/>
          <w:iCs w:val="false"/>
          <w:color w:val="333333"/>
          <w:sz w:val="22"/>
          <w:szCs w:val="22"/>
        </w:rPr>
        <w:t xml:space="preserve">Century of Senn biomedical fund targeting MSH3 research and CRISPR development.</w:t>
      </w:r>
    </w:p>
    <w:p>
      <w:pPr>
        <w:pStyle w:val="ListParagraph"/>
        <w:numPr>
          <w:ilvl w:val="0"/>
          <w:numId w:val="2"/>
        </w:numPr>
        <w:spacing w:after="100" w:line="276"/>
      </w:pPr>
      <w:r>
        <w:rPr>
          <w:rFonts w:ascii="Arial" w:cs="Arial" w:eastAsia="Arial" w:hAnsi="Arial"/>
          <w:b/>
          <w:bCs/>
          <w:i w:val="false"/>
          <w:iCs w:val="false"/>
          <w:color w:val="333333"/>
          <w:sz w:val="22"/>
          <w:szCs w:val="22"/>
        </w:rPr>
        <w:t xml:space="preserve">Neural Interface Development: </w:t>
      </w:r>
      <w:r>
        <w:rPr>
          <w:rFonts w:ascii="Arial" w:cs="Arial" w:eastAsia="Arial" w:hAnsi="Arial"/>
          <w:b w:val="false"/>
          <w:bCs w:val="false"/>
          <w:i w:val="false"/>
          <w:iCs w:val="false"/>
          <w:color w:val="333333"/>
          <w:sz w:val="22"/>
          <w:szCs w:val="22"/>
        </w:rPr>
        <w:t xml:space="preserve">Long-term investment in BCI technology for HD-affected patients—the Connor Protocol’s future horizon.</w:t>
      </w:r>
    </w:p>
    <w:p>
      <w:r>
        <w:br w:type="page"/>
      </w:r>
    </w:p>
    <w:p>
      <w:pPr>
        <w:pStyle w:val="Heading1"/>
        <w:spacing w:before="400" w:after="200"/>
      </w:pPr>
      <w:r>
        <w:rPr>
          <w:rFonts w:ascii="Arial" w:cs="Arial" w:eastAsia="Arial" w:hAnsi="Arial"/>
          <w:b/>
          <w:bCs/>
          <w:color w:val="1B2A4A"/>
          <w:sz w:val="36"/>
          <w:szCs w:val="36"/>
        </w:rPr>
        <w:t xml:space="preserve">PART XII: Century of Senn — The Mission</w:t>
      </w:r>
    </w:p>
    <w:p>
      <w:pPr>
        <w:spacing w:before="100" w:after="0"/>
      </w:pPr>
    </w:p>
    <w:p>
      <w:pPr>
        <w:pBdr>
          <w:top w:val="single" w:color="C4A265" w:sz="2" w:space="8"/>
          <w:bottom w:val="single" w:color="C4A265" w:sz="2" w:space="8"/>
        </w:pBdr>
        <w:spacing w:after="200"/>
        <w:jc w:val="center"/>
      </w:pPr>
      <w:r>
        <w:rPr>
          <w:rFonts w:ascii="Arial" w:cs="Arial" w:eastAsia="Arial" w:hAnsi="Arial"/>
          <w:i/>
          <w:iCs/>
          <w:color w:val="1B2A4A"/>
          <w:sz w:val="24"/>
          <w:szCs w:val="24"/>
        </w:rPr>
        <w:t xml:space="preserve">"We will not stop until Huntington’s disease is erased from the human story."</w:t>
      </w:r>
    </w:p>
    <w:p>
      <w:pPr>
        <w:spacing w:before="100" w:after="0"/>
      </w:pPr>
    </w:p>
    <w:p>
      <w:pPr>
        <w:spacing w:after="160" w:line="276"/>
        <w:jc w:val="left"/>
      </w:pPr>
      <w:r>
        <w:rPr>
          <w:rFonts w:ascii="Arial" w:cs="Arial" w:eastAsia="Arial" w:hAnsi="Arial"/>
          <w:b w:val="false"/>
          <w:bCs w:val="false"/>
          <w:i w:val="false"/>
          <w:iCs w:val="false"/>
          <w:color w:val="333333"/>
          <w:sz w:val="22"/>
          <w:szCs w:val="22"/>
        </w:rPr>
        <w:t xml:space="preserve">The Century of Senn (2025–2125) is not a business plan. It is a declaration of intent. Among its many objectives—technology, family, faith, service—the eradication of Huntington’s disease stands as a sacred pillar.</w:t>
      </w:r>
    </w:p>
    <w:p>
      <w:pPr>
        <w:spacing w:after="160" w:line="276"/>
        <w:jc w:val="left"/>
      </w:pPr>
      <w:r>
        <w:rPr>
          <w:rFonts w:ascii="Arial" w:cs="Arial" w:eastAsia="Arial" w:hAnsi="Arial"/>
          <w:b w:val="false"/>
          <w:bCs w:val="false"/>
          <w:i w:val="false"/>
          <w:iCs w:val="false"/>
          <w:color w:val="333333"/>
          <w:sz w:val="22"/>
          <w:szCs w:val="22"/>
        </w:rPr>
        <w:t xml:space="preserve">This mission is personal. Connor’s mother was twenty-nine years old. She left behind a child who may carry the same mutation. This is not abstract. This is a father holding his son’s future in his hands and refusing to let the disease that took his mother take him too.</w:t>
      </w:r>
    </w:p>
    <w:p>
      <w:pPr>
        <w:spacing w:after="160" w:line="276"/>
        <w:jc w:val="left"/>
      </w:pPr>
      <w:r>
        <w:rPr>
          <w:rFonts w:ascii="Arial" w:cs="Arial" w:eastAsia="Arial" w:hAnsi="Arial"/>
          <w:b w:val="false"/>
          <w:bCs w:val="false"/>
          <w:i w:val="false"/>
          <w:iCs w:val="false"/>
          <w:color w:val="333333"/>
          <w:sz w:val="22"/>
          <w:szCs w:val="22"/>
        </w:rPr>
        <w:t xml:space="preserve">The science is here. The breakthrough AMT-130 trial proved that HD can be slowed. The MSH3 research proved that somatic expansion can be halted. The CRISPR programs proved that the mutation can be edited. The timeline is converging on Connor’s generation.</w:t>
      </w:r>
    </w:p>
    <w:p>
      <w:pPr>
        <w:spacing w:after="160" w:line="276"/>
        <w:jc w:val="left"/>
      </w:pPr>
      <w:r>
        <w:rPr>
          <w:rFonts w:ascii="Arial" w:cs="Arial" w:eastAsia="Arial" w:hAnsi="Arial"/>
          <w:b/>
          <w:bCs/>
          <w:i w:val="false"/>
          <w:iCs w:val="false"/>
          <w:color w:val="C4A265"/>
          <w:sz w:val="24"/>
          <w:szCs w:val="24"/>
        </w:rPr>
        <w:t xml:space="preserve">We Build. We Serve. We Stay Invisible.</w:t>
      </w:r>
    </w:p>
    <w:p>
      <w:pPr>
        <w:spacing w:after="160" w:line="276"/>
        <w:jc w:val="left"/>
      </w:pPr>
      <w:r>
        <w:rPr>
          <w:rFonts w:ascii="Arial" w:cs="Arial" w:eastAsia="Arial" w:hAnsi="Arial"/>
          <w:b w:val="false"/>
          <w:bCs w:val="false"/>
          <w:i w:val="false"/>
          <w:iCs w:val="false"/>
          <w:color w:val="333333"/>
          <w:sz w:val="22"/>
          <w:szCs w:val="22"/>
        </w:rPr>
        <w:t xml:space="preserve">But in this fight, we will not stay silent.</w:t>
      </w:r>
    </w:p>
    <w:p>
      <w:pPr>
        <w:spacing w:before="400" w:after="0"/>
      </w:pPr>
    </w:p>
    <w:p>
      <w:pPr>
        <w:spacing w:after="100"/>
        <w:jc w:val="center"/>
      </w:pPr>
      <w:r>
        <w:rPr>
          <w:rFonts w:ascii="Arial" w:cs="Arial" w:eastAsia="Arial" w:hAnsi="Arial"/>
          <w:color w:val="AAAAAA"/>
          <w:spacing w:val="200"/>
          <w:sz w:val="20"/>
          <w:szCs w:val="20"/>
        </w:rPr>
        <w:t xml:space="preserve">— END OF DOCUMENT —</w:t>
      </w:r>
    </w:p>
    <w:p>
      <w:pPr>
        <w:jc w:val="center"/>
      </w:pPr>
      <w:r>
        <w:rPr>
          <w:rFonts w:ascii="Arial" w:cs="Arial" w:eastAsia="Arial" w:hAnsi="Arial"/>
          <w:color w:val="CCCCCC"/>
          <w:sz w:val="16"/>
          <w:szCs w:val="16"/>
        </w:rPr>
        <w:t xml:space="preserve">SENN BIOMEDICAL RESEARCH  |  FEBRUARY 2026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2026-02-18T12:55:54.699Z</dcterms:created>
  <dcterms:modified xsi:type="dcterms:W3CDTF">2026-02-18T12:55:54.700Z</dcterms:modified>
</cp:coreProperties>
</file>

<file path=docProps/custom.xml><?xml version="1.0" encoding="utf-8"?>
<Properties xmlns="http://schemas.openxmlformats.org/officeDocument/2006/custom-properties" xmlns:vt="http://schemas.openxmlformats.org/officeDocument/2006/docPropsVTypes"/>
</file>