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FD658" w14:textId="3C051E93" w:rsidR="0051607F" w:rsidRPr="00A97488" w:rsidRDefault="0043704D" w:rsidP="00A97488">
      <w:pPr>
        <w:ind w:left="720" w:firstLine="720"/>
        <w:rPr>
          <w:b/>
          <w:bCs/>
          <w:sz w:val="36"/>
          <w:szCs w:val="36"/>
        </w:rPr>
      </w:pPr>
      <w:r w:rsidRPr="00A97488">
        <w:rPr>
          <w:b/>
          <w:bCs/>
          <w:sz w:val="36"/>
          <w:szCs w:val="36"/>
        </w:rPr>
        <w:t>The History of Papua New Guinea Flag</w:t>
      </w:r>
    </w:p>
    <w:p w14:paraId="2B72C2F9" w14:textId="6CAE8E90" w:rsidR="0043704D" w:rsidRPr="00A97488" w:rsidRDefault="0043704D">
      <w:pPr>
        <w:rPr>
          <w:b/>
          <w:bCs/>
          <w:sz w:val="36"/>
          <w:szCs w:val="36"/>
        </w:rPr>
      </w:pPr>
    </w:p>
    <w:p w14:paraId="7FA02EC8" w14:textId="46F71C72" w:rsidR="0043704D" w:rsidRPr="00A97488" w:rsidRDefault="0043704D">
      <w:pPr>
        <w:rPr>
          <w:sz w:val="24"/>
          <w:szCs w:val="24"/>
        </w:rPr>
      </w:pPr>
      <w:r w:rsidRPr="00A97488">
        <w:rPr>
          <w:sz w:val="24"/>
          <w:szCs w:val="24"/>
        </w:rPr>
        <w:t xml:space="preserve">The </w:t>
      </w:r>
      <w:r w:rsidR="00A97488" w:rsidRPr="00A97488">
        <w:rPr>
          <w:sz w:val="24"/>
          <w:szCs w:val="24"/>
        </w:rPr>
        <w:t>Papua New Guinea</w:t>
      </w:r>
      <w:r w:rsidRPr="00A97488">
        <w:rPr>
          <w:sz w:val="24"/>
          <w:szCs w:val="24"/>
        </w:rPr>
        <w:t xml:space="preserve"> flag was officially adopted on July 1, 1917. It was designed by a </w:t>
      </w:r>
      <w:r w:rsidR="00A97488" w:rsidRPr="00A97488">
        <w:rPr>
          <w:sz w:val="24"/>
          <w:szCs w:val="24"/>
        </w:rPr>
        <w:t>15-year-old</w:t>
      </w:r>
      <w:r w:rsidRPr="00A97488">
        <w:rPr>
          <w:sz w:val="24"/>
          <w:szCs w:val="24"/>
        </w:rPr>
        <w:t xml:space="preserve"> local school girl named </w:t>
      </w:r>
      <w:r w:rsidR="00A97488" w:rsidRPr="00A97488">
        <w:rPr>
          <w:sz w:val="24"/>
          <w:szCs w:val="24"/>
        </w:rPr>
        <w:t>Susan</w:t>
      </w:r>
      <w:r w:rsidRPr="00A97488">
        <w:rPr>
          <w:sz w:val="24"/>
          <w:szCs w:val="24"/>
        </w:rPr>
        <w:t xml:space="preserve"> Karike, who sketched the iconic elements after a nationwide flag design competition was l</w:t>
      </w:r>
      <w:r w:rsidR="00A97488" w:rsidRPr="00A97488">
        <w:rPr>
          <w:sz w:val="24"/>
          <w:szCs w:val="24"/>
        </w:rPr>
        <w:t>a</w:t>
      </w:r>
      <w:r w:rsidRPr="00A97488">
        <w:rPr>
          <w:sz w:val="24"/>
          <w:szCs w:val="24"/>
        </w:rPr>
        <w:t xml:space="preserve">unched. The design features several </w:t>
      </w:r>
      <w:r w:rsidR="00A97488" w:rsidRPr="00A97488">
        <w:rPr>
          <w:sz w:val="24"/>
          <w:szCs w:val="24"/>
        </w:rPr>
        <w:t>historical</w:t>
      </w:r>
      <w:r w:rsidRPr="00A97488">
        <w:rPr>
          <w:sz w:val="24"/>
          <w:szCs w:val="24"/>
        </w:rPr>
        <w:t xml:space="preserve"> and cultural significant elements:</w:t>
      </w:r>
    </w:p>
    <w:p w14:paraId="380C7682" w14:textId="512B1F49" w:rsidR="0043704D" w:rsidRPr="00A97488" w:rsidRDefault="0043704D">
      <w:pPr>
        <w:rPr>
          <w:sz w:val="24"/>
          <w:szCs w:val="24"/>
        </w:rPr>
      </w:pPr>
    </w:p>
    <w:p w14:paraId="7E5C06FC" w14:textId="50AFDA5D" w:rsidR="0043704D" w:rsidRPr="00A97488" w:rsidRDefault="0043704D">
      <w:pPr>
        <w:rPr>
          <w:sz w:val="24"/>
          <w:szCs w:val="24"/>
        </w:rPr>
      </w:pPr>
      <w:r w:rsidRPr="00A97488">
        <w:rPr>
          <w:sz w:val="24"/>
          <w:szCs w:val="24"/>
        </w:rPr>
        <w:t xml:space="preserve">Colors: The design features </w:t>
      </w:r>
      <w:r w:rsidR="00A97488" w:rsidRPr="00A97488">
        <w:rPr>
          <w:sz w:val="24"/>
          <w:szCs w:val="24"/>
        </w:rPr>
        <w:t>several</w:t>
      </w:r>
      <w:r w:rsidRPr="00A97488">
        <w:rPr>
          <w:sz w:val="24"/>
          <w:szCs w:val="24"/>
        </w:rPr>
        <w:t xml:space="preserve"> </w:t>
      </w:r>
      <w:r w:rsidR="00A97488" w:rsidRPr="00A97488">
        <w:rPr>
          <w:sz w:val="24"/>
          <w:szCs w:val="24"/>
        </w:rPr>
        <w:t>halves</w:t>
      </w:r>
      <w:r w:rsidRPr="00A97488">
        <w:rPr>
          <w:sz w:val="24"/>
          <w:szCs w:val="24"/>
        </w:rPr>
        <w:t xml:space="preserve"> of black and red, along with the yellow, </w:t>
      </w:r>
      <w:r w:rsidR="00A97488" w:rsidRPr="00A97488">
        <w:rPr>
          <w:sz w:val="24"/>
          <w:szCs w:val="24"/>
        </w:rPr>
        <w:t>are</w:t>
      </w:r>
      <w:r w:rsidRPr="00A97488">
        <w:rPr>
          <w:sz w:val="24"/>
          <w:szCs w:val="24"/>
        </w:rPr>
        <w:t xml:space="preserve"> the traditional colors used by many country’s tribes</w:t>
      </w:r>
      <w:r w:rsidR="00A97488" w:rsidRPr="00A97488">
        <w:rPr>
          <w:sz w:val="24"/>
          <w:szCs w:val="24"/>
        </w:rPr>
        <w:t>.</w:t>
      </w:r>
    </w:p>
    <w:p w14:paraId="59D9398A" w14:textId="7D814702" w:rsidR="0043704D" w:rsidRPr="00A97488" w:rsidRDefault="0043704D">
      <w:pPr>
        <w:rPr>
          <w:sz w:val="24"/>
          <w:szCs w:val="24"/>
        </w:rPr>
      </w:pPr>
    </w:p>
    <w:p w14:paraId="638E1CCC" w14:textId="27A50FB0" w:rsidR="0043704D" w:rsidRPr="00A97488" w:rsidRDefault="0043704D">
      <w:pPr>
        <w:rPr>
          <w:sz w:val="24"/>
          <w:szCs w:val="24"/>
        </w:rPr>
      </w:pPr>
      <w:r w:rsidRPr="00A97488">
        <w:rPr>
          <w:sz w:val="24"/>
          <w:szCs w:val="24"/>
        </w:rPr>
        <w:t xml:space="preserve">The Reginal bird of Paradise: Placed on the red upper section it is a majestic bird native </w:t>
      </w:r>
      <w:r w:rsidR="00A97488" w:rsidRPr="00A97488">
        <w:rPr>
          <w:sz w:val="24"/>
          <w:szCs w:val="24"/>
        </w:rPr>
        <w:t>to</w:t>
      </w:r>
      <w:r w:rsidRPr="00A97488">
        <w:rPr>
          <w:sz w:val="24"/>
          <w:szCs w:val="24"/>
        </w:rPr>
        <w:t xml:space="preserve"> the Island. In full flight, it represents the country’s freedo</w:t>
      </w:r>
      <w:r w:rsidR="00A97488" w:rsidRPr="00A97488">
        <w:rPr>
          <w:sz w:val="24"/>
          <w:szCs w:val="24"/>
        </w:rPr>
        <w:t xml:space="preserve">m </w:t>
      </w:r>
      <w:r w:rsidRPr="00A97488">
        <w:rPr>
          <w:sz w:val="24"/>
          <w:szCs w:val="24"/>
        </w:rPr>
        <w:t xml:space="preserve">and </w:t>
      </w:r>
      <w:r w:rsidR="00A97488" w:rsidRPr="00A97488">
        <w:rPr>
          <w:sz w:val="24"/>
          <w:szCs w:val="24"/>
        </w:rPr>
        <w:t>emergence</w:t>
      </w:r>
      <w:r w:rsidRPr="00A97488">
        <w:rPr>
          <w:sz w:val="24"/>
          <w:szCs w:val="24"/>
        </w:rPr>
        <w:t xml:space="preserve"> </w:t>
      </w:r>
      <w:r w:rsidR="00A97488" w:rsidRPr="00A97488">
        <w:rPr>
          <w:sz w:val="24"/>
          <w:szCs w:val="24"/>
        </w:rPr>
        <w:t>into</w:t>
      </w:r>
      <w:r w:rsidRPr="00A97488">
        <w:rPr>
          <w:sz w:val="24"/>
          <w:szCs w:val="24"/>
        </w:rPr>
        <w:t xml:space="preserve"> nation</w:t>
      </w:r>
      <w:r w:rsidR="00A97488" w:rsidRPr="00A97488">
        <w:rPr>
          <w:sz w:val="24"/>
          <w:szCs w:val="24"/>
        </w:rPr>
        <w:t xml:space="preserve"> </w:t>
      </w:r>
      <w:r w:rsidRPr="00A97488">
        <w:rPr>
          <w:sz w:val="24"/>
          <w:szCs w:val="24"/>
        </w:rPr>
        <w:t>h</w:t>
      </w:r>
      <w:r w:rsidR="00A97488" w:rsidRPr="00A97488">
        <w:rPr>
          <w:sz w:val="24"/>
          <w:szCs w:val="24"/>
        </w:rPr>
        <w:t>oo</w:t>
      </w:r>
      <w:r w:rsidRPr="00A97488">
        <w:rPr>
          <w:sz w:val="24"/>
          <w:szCs w:val="24"/>
        </w:rPr>
        <w:t>d.</w:t>
      </w:r>
    </w:p>
    <w:p w14:paraId="0D957827" w14:textId="3A2F22F8" w:rsidR="0043704D" w:rsidRPr="00A97488" w:rsidRDefault="0043704D">
      <w:pPr>
        <w:rPr>
          <w:sz w:val="24"/>
          <w:szCs w:val="24"/>
        </w:rPr>
      </w:pPr>
    </w:p>
    <w:p w14:paraId="6A26EB83" w14:textId="2C6CB60E" w:rsidR="0043704D" w:rsidRPr="00A97488" w:rsidRDefault="0043704D">
      <w:pPr>
        <w:rPr>
          <w:sz w:val="24"/>
          <w:szCs w:val="24"/>
        </w:rPr>
      </w:pPr>
      <w:r w:rsidRPr="00A97488">
        <w:rPr>
          <w:sz w:val="24"/>
          <w:szCs w:val="24"/>
        </w:rPr>
        <w:t xml:space="preserve">The Southern Cross: The five white stars on the black triangle represent the Southern Cross Constellation, showcasing Papua New Guinea’s geographic location in the Southern </w:t>
      </w:r>
      <w:r w:rsidR="00A97488" w:rsidRPr="00A97488">
        <w:rPr>
          <w:sz w:val="24"/>
          <w:szCs w:val="24"/>
        </w:rPr>
        <w:t>Hemisphere</w:t>
      </w:r>
      <w:r w:rsidRPr="00A97488">
        <w:rPr>
          <w:sz w:val="24"/>
          <w:szCs w:val="24"/>
        </w:rPr>
        <w:t xml:space="preserve">. Prior to this adoption, the Australian administration proposed a vertical green, yellow and blue flag but it received little </w:t>
      </w:r>
      <w:r w:rsidR="00A97488" w:rsidRPr="00A97488">
        <w:rPr>
          <w:sz w:val="24"/>
          <w:szCs w:val="24"/>
        </w:rPr>
        <w:t>public</w:t>
      </w:r>
      <w:r w:rsidRPr="00A97488">
        <w:rPr>
          <w:sz w:val="24"/>
          <w:szCs w:val="24"/>
        </w:rPr>
        <w:t xml:space="preserve"> </w:t>
      </w:r>
      <w:r w:rsidR="00A97488" w:rsidRPr="00A97488">
        <w:rPr>
          <w:sz w:val="24"/>
          <w:szCs w:val="24"/>
        </w:rPr>
        <w:t>enthusiasm</w:t>
      </w:r>
      <w:r w:rsidRPr="00A97488">
        <w:rPr>
          <w:sz w:val="24"/>
          <w:szCs w:val="24"/>
        </w:rPr>
        <w:t xml:space="preserve">. Karike’s </w:t>
      </w:r>
      <w:r w:rsidR="00A97488" w:rsidRPr="00A97488">
        <w:rPr>
          <w:sz w:val="24"/>
          <w:szCs w:val="24"/>
        </w:rPr>
        <w:t>design</w:t>
      </w:r>
      <w:r w:rsidRPr="00A97488">
        <w:rPr>
          <w:sz w:val="24"/>
          <w:szCs w:val="24"/>
        </w:rPr>
        <w:t xml:space="preserve"> </w:t>
      </w:r>
      <w:r w:rsidR="00A97488" w:rsidRPr="00A97488">
        <w:rPr>
          <w:sz w:val="24"/>
          <w:szCs w:val="24"/>
        </w:rPr>
        <w:t>was</w:t>
      </w:r>
      <w:r w:rsidRPr="00A97488">
        <w:rPr>
          <w:sz w:val="24"/>
          <w:szCs w:val="24"/>
        </w:rPr>
        <w:t xml:space="preserve"> chosen instead a</w:t>
      </w:r>
      <w:r w:rsidR="00A97488" w:rsidRPr="00A97488">
        <w:rPr>
          <w:sz w:val="24"/>
          <w:szCs w:val="24"/>
        </w:rPr>
        <w:t>n</w:t>
      </w:r>
      <w:r w:rsidRPr="00A97488">
        <w:rPr>
          <w:sz w:val="24"/>
          <w:szCs w:val="24"/>
        </w:rPr>
        <w:t>d was proudly retained when Papua New Guinea</w:t>
      </w:r>
      <w:r w:rsidR="00A97488" w:rsidRPr="00A97488">
        <w:rPr>
          <w:sz w:val="24"/>
          <w:szCs w:val="24"/>
        </w:rPr>
        <w:t xml:space="preserve"> achieved full independence on September 16, 1975.</w:t>
      </w:r>
    </w:p>
    <w:sectPr w:rsidR="0043704D" w:rsidRPr="00A97488" w:rsidSect="00A974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4338F" w14:textId="77777777" w:rsidR="00DF64B6" w:rsidRDefault="00DF64B6" w:rsidP="00A97488">
      <w:pPr>
        <w:spacing w:after="0" w:line="240" w:lineRule="auto"/>
      </w:pPr>
      <w:r>
        <w:separator/>
      </w:r>
    </w:p>
  </w:endnote>
  <w:endnote w:type="continuationSeparator" w:id="0">
    <w:p w14:paraId="790E7C0E" w14:textId="77777777" w:rsidR="00DF64B6" w:rsidRDefault="00DF64B6" w:rsidP="00A97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81D81" w14:textId="77777777" w:rsidR="00A97488" w:rsidRDefault="00A974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37EF7" w14:textId="77777777" w:rsidR="00A97488" w:rsidRDefault="00A974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337CF" w14:textId="77777777" w:rsidR="00A97488" w:rsidRDefault="00A974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B12B2" w14:textId="77777777" w:rsidR="00DF64B6" w:rsidRDefault="00DF64B6" w:rsidP="00A97488">
      <w:pPr>
        <w:spacing w:after="0" w:line="240" w:lineRule="auto"/>
      </w:pPr>
      <w:r>
        <w:separator/>
      </w:r>
    </w:p>
  </w:footnote>
  <w:footnote w:type="continuationSeparator" w:id="0">
    <w:p w14:paraId="6BC12C80" w14:textId="77777777" w:rsidR="00DF64B6" w:rsidRDefault="00DF64B6" w:rsidP="00A97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DE943" w14:textId="77777777" w:rsidR="00A97488" w:rsidRDefault="00A974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94B77" w14:textId="77777777" w:rsidR="00A97488" w:rsidRDefault="00A974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798E6" w14:textId="77777777" w:rsidR="00A97488" w:rsidRDefault="00A974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04D"/>
    <w:rsid w:val="0043704D"/>
    <w:rsid w:val="0051607F"/>
    <w:rsid w:val="00A97488"/>
    <w:rsid w:val="00DF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114E4D"/>
  <w15:chartTrackingRefBased/>
  <w15:docId w15:val="{862C8CBD-F2A7-44C3-A476-62238B21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7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488"/>
  </w:style>
  <w:style w:type="paragraph" w:styleId="Footer">
    <w:name w:val="footer"/>
    <w:basedOn w:val="Normal"/>
    <w:link w:val="FooterChar"/>
    <w:uiPriority w:val="99"/>
    <w:unhideWhenUsed/>
    <w:rsid w:val="00A97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2026-07-17T06:00:00Z</dcterms:created>
  <dcterms:modified xsi:type="dcterms:W3CDTF">2026-07-17T06:17:00Z</dcterms:modified>
</cp:coreProperties>
</file>