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lineRule="auto"/>
        <w:jc w:val="center"/>
      </w:pPr>
      <w:r>
        <w:rPr>
          <w:rFonts w:ascii="Times New Roman" w:cs="Times New Roman" w:eastAsia="Times New Roman" w:hAnsi="Times New Roman"/>
          <w:b/>
          <w:bCs/>
          <w:sz w:val="24"/>
          <w:szCs w:val="24"/>
        </w:rPr>
        <w:t xml:space="preserve">Type of article: </w:t>
      </w:r>
      <w:r>
        <w:rPr>
          <w:rFonts w:ascii="Times New Roman" w:cs="Times New Roman" w:eastAsia="Times New Roman" w:hAnsi="Times New Roman"/>
          <w:sz w:val="24"/>
          <w:szCs w:val="24"/>
        </w:rPr>
        <w:t xml:space="preserve">Original Article</w:t>
      </w:r>
    </w:p>
    <w:p>
      <w:pPr>
        <w:spacing w:line="480" w:lineRule="auto"/>
        <w:jc w:val="center"/>
      </w:pPr>
      <w:r>
        <w:rPr>
          <w:rFonts w:ascii="Times New Roman" w:cs="Times New Roman" w:eastAsia="Times New Roman" w:hAnsi="Times New Roman"/>
          <w:b/>
          <w:bCs/>
          <w:sz w:val="28"/>
          <w:szCs w:val="28"/>
        </w:rPr>
        <w:t xml:space="preserve">Two Decades of Keratoconus Research in Saudi Arabia: A Bibliometric Analysis (2000–2025)</w:t>
      </w:r>
    </w:p>
    <w:p>
      <w:pPr>
        <w:spacing w:before="240" w:line="480" w:lineRule="auto"/>
        <w:jc w:val="center"/>
      </w:pPr>
      <w:r>
        <w:rPr>
          <w:rFonts w:ascii="Times New Roman" w:cs="Times New Roman" w:eastAsia="Times New Roman" w:hAnsi="Times New Roman"/>
          <w:b/>
          <w:bCs/>
          <w:sz w:val="24"/>
          <w:szCs w:val="24"/>
        </w:rPr>
        <w:t xml:space="preserve">Running title: </w:t>
      </w:r>
      <w:r>
        <w:rPr>
          <w:rFonts w:ascii="Times New Roman" w:cs="Times New Roman" w:eastAsia="Times New Roman" w:hAnsi="Times New Roman"/>
          <w:sz w:val="24"/>
          <w:szCs w:val="24"/>
        </w:rPr>
        <w:t xml:space="preserve">Keratoconus bibliometrics in Saudi Arabia</w:t>
      </w:r>
    </w:p>
    <w:p>
      <w:pPr>
        <w:spacing w:after="240" w:line="480" w:lineRule="auto"/>
        <w:jc w:val="center"/>
      </w:pPr>
      <w:r>
        <w:rPr>
          <w:rFonts w:ascii="Times New Roman" w:cs="Times New Roman" w:eastAsia="Times New Roman" w:hAnsi="Times New Roman"/>
          <w:i/>
          <w:iCs/>
          <w:sz w:val="20"/>
          <w:szCs w:val="20"/>
        </w:rPr>
        <w:t xml:space="preserve">(48 characters)</w:t>
      </w:r>
    </w:p>
    <w:p>
      <w:pPr>
        <w:spacing w:before="120" w:line="480" w:lineRule="auto"/>
        <w:jc w:val="center"/>
      </w:pPr>
      <w:r>
        <w:rPr>
          <w:rFonts w:ascii="Times New Roman" w:cs="Times New Roman" w:eastAsia="Times New Roman" w:hAnsi="Times New Roman"/>
          <w:b/>
          <w:bCs/>
          <w:sz w:val="26"/>
          <w:szCs w:val="26"/>
        </w:rPr>
        <w:t xml:space="preserve">Saad M. Aljohani</w:t>
      </w:r>
    </w:p>
    <w:p>
      <w:pPr>
        <w:spacing w:after="0" w:before="0" w:line="480" w:lineRule="auto"/>
        <w:jc w:val="center"/>
      </w:pPr>
      <w:r>
        <w:rPr>
          <w:rFonts w:ascii="Times New Roman" w:cs="Times New Roman" w:eastAsia="Times New Roman" w:hAnsi="Times New Roman"/>
          <w:sz w:val="24"/>
          <w:szCs w:val="24"/>
        </w:rPr>
        <w:t xml:space="preserve">Department of Optometry, University of Bisha, Bisha, Saudi Arabia</w:t>
      </w:r>
    </w:p>
    <w:p>
      <w:pPr>
        <w:spacing w:after="0" w:before="0" w:line="480" w:lineRule="auto"/>
        <w:jc w:val="center"/>
      </w:pPr>
      <w:r>
        <w:rPr>
          <w:rFonts w:ascii="Times New Roman" w:cs="Times New Roman" w:eastAsia="Times New Roman" w:hAnsi="Times New Roman"/>
          <w:sz w:val="24"/>
          <w:szCs w:val="24"/>
        </w:rPr>
        <w:t xml:space="preserve">ORCID: 0009-0008-2345-0078</w:t>
      </w:r>
    </w:p>
    <w:p>
      <w:pPr>
        <w:spacing w:before="360" w:line="480" w:lineRule="auto"/>
      </w:pPr>
      <w:r>
        <w:rPr>
          <w:rFonts w:ascii="Times New Roman" w:cs="Times New Roman" w:eastAsia="Times New Roman" w:hAnsi="Times New Roman"/>
          <w:b/>
          <w:bCs/>
          <w:sz w:val="24"/>
          <w:szCs w:val="24"/>
        </w:rPr>
        <w:t xml:space="preserve">Author for correspondence:</w:t>
      </w:r>
    </w:p>
    <w:p>
      <w:pPr>
        <w:spacing w:after="0" w:before="0" w:line="480" w:lineRule="auto"/>
        <w:jc w:val="both"/>
      </w:pPr>
      <w:r>
        <w:rPr>
          <w:rFonts w:ascii="Times New Roman" w:cs="Times New Roman" w:eastAsia="Times New Roman" w:hAnsi="Times New Roman"/>
          <w:sz w:val="24"/>
          <w:szCs w:val="24"/>
        </w:rPr>
        <w:t xml:space="preserve">Saad M. Aljohani</w:t>
      </w:r>
    </w:p>
    <w:p>
      <w:pPr>
        <w:spacing w:after="0" w:before="0" w:line="480" w:lineRule="auto"/>
        <w:jc w:val="both"/>
      </w:pPr>
      <w:r>
        <w:rPr>
          <w:rFonts w:ascii="Times New Roman" w:cs="Times New Roman" w:eastAsia="Times New Roman" w:hAnsi="Times New Roman"/>
          <w:sz w:val="24"/>
          <w:szCs w:val="24"/>
        </w:rPr>
        <w:t xml:space="preserve">Department of Optometry, University of Bisha,</w:t>
      </w:r>
    </w:p>
    <w:p>
      <w:pPr>
        <w:spacing w:after="0" w:before="0" w:line="480" w:lineRule="auto"/>
        <w:jc w:val="both"/>
      </w:pPr>
      <w:r>
        <w:rPr>
          <w:rFonts w:ascii="Times New Roman" w:cs="Times New Roman" w:eastAsia="Times New Roman" w:hAnsi="Times New Roman"/>
          <w:sz w:val="24"/>
          <w:szCs w:val="24"/>
        </w:rPr>
        <w:t xml:space="preserve">Bisha, Saudi Arabia</w:t>
      </w:r>
    </w:p>
    <w:p>
      <w:pPr>
        <w:spacing w:after="0" w:before="0" w:line="480" w:lineRule="auto"/>
        <w:jc w:val="both"/>
      </w:pPr>
      <w:r>
        <w:rPr>
          <w:rFonts w:ascii="Times New Roman" w:cs="Times New Roman" w:eastAsia="Times New Roman" w:hAnsi="Times New Roman"/>
          <w:sz w:val="24"/>
          <w:szCs w:val="24"/>
        </w:rPr>
        <w:t xml:space="preserve">E-mail: </w:t>
      </w:r>
      <w:r>
        <w:rPr>
          <w:rFonts w:ascii="Times New Roman" w:cs="Times New Roman" w:eastAsia="Times New Roman" w:hAnsi="Times New Roman"/>
          <w:i/>
          <w:iCs/>
          <w:sz w:val="24"/>
          <w:szCs w:val="24"/>
        </w:rPr>
        <w:t xml:space="preserve">[corresponding author e-mail to be inserted]</w:t>
      </w:r>
    </w:p>
    <w:p>
      <w:pPr>
        <w:spacing w:before="360" w:line="480" w:lineRule="auto"/>
      </w:pPr>
      <w:r>
        <w:rPr>
          <w:rFonts w:ascii="Times New Roman" w:cs="Times New Roman" w:eastAsia="Times New Roman" w:hAnsi="Times New Roman"/>
          <w:b/>
          <w:bCs/>
          <w:sz w:val="24"/>
          <w:szCs w:val="24"/>
        </w:rPr>
        <w:t xml:space="preserve">Number of figures: </w:t>
      </w:r>
      <w:r>
        <w:rPr>
          <w:rFonts w:ascii="Times New Roman" w:cs="Times New Roman" w:eastAsia="Times New Roman" w:hAnsi="Times New Roman"/>
          <w:sz w:val="24"/>
          <w:szCs w:val="24"/>
        </w:rPr>
        <w:t xml:space="preserve">6</w:t>
      </w:r>
    </w:p>
    <w:p>
      <w:pPr>
        <w:spacing w:after="0" w:before="0" w:line="480" w:lineRule="auto"/>
        <w:jc w:val="both"/>
      </w:pPr>
      <w:r>
        <w:rPr>
          <w:rFonts w:ascii="Times New Roman" w:cs="Times New Roman" w:eastAsia="Times New Roman" w:hAnsi="Times New Roman"/>
          <w:b/>
          <w:bCs/>
          <w:sz w:val="24"/>
          <w:szCs w:val="24"/>
        </w:rPr>
        <w:t xml:space="preserve">Number of tables: </w:t>
      </w:r>
      <w:r>
        <w:rPr>
          <w:rFonts w:ascii="Times New Roman" w:cs="Times New Roman" w:eastAsia="Times New Roman" w:hAnsi="Times New Roman"/>
          <w:sz w:val="24"/>
          <w:szCs w:val="24"/>
        </w:rPr>
        <w:t xml:space="preserve">3</w:t>
      </w:r>
    </w:p>
    <w:p>
      <w:pPr>
        <w:spacing w:after="0" w:before="0" w:line="480" w:lineRule="auto"/>
        <w:jc w:val="both"/>
      </w:pPr>
      <w:r>
        <w:rPr>
          <w:rFonts w:ascii="Times New Roman" w:cs="Times New Roman" w:eastAsia="Times New Roman" w:hAnsi="Times New Roman"/>
          <w:b/>
          <w:bCs/>
          <w:sz w:val="24"/>
          <w:szCs w:val="24"/>
        </w:rPr>
        <w:t xml:space="preserve">Word count (abstract): </w:t>
      </w:r>
      <w:r>
        <w:rPr>
          <w:rFonts w:ascii="Times New Roman" w:cs="Times New Roman" w:eastAsia="Times New Roman" w:hAnsi="Times New Roman"/>
          <w:sz w:val="24"/>
          <w:szCs w:val="24"/>
        </w:rPr>
        <w:t xml:space="preserve">248</w:t>
      </w:r>
    </w:p>
    <w:p>
      <w:pPr>
        <w:spacing w:after="0" w:before="0" w:line="480" w:lineRule="auto"/>
        <w:jc w:val="both"/>
      </w:pPr>
      <w:r>
        <w:rPr>
          <w:rFonts w:ascii="Times New Roman" w:cs="Times New Roman" w:eastAsia="Times New Roman" w:hAnsi="Times New Roman"/>
          <w:b/>
          <w:bCs/>
          <w:sz w:val="24"/>
          <w:szCs w:val="24"/>
        </w:rPr>
        <w:t xml:space="preserve">Word count (main text): </w:t>
      </w:r>
      <w:r>
        <w:rPr>
          <w:rFonts w:ascii="Times New Roman" w:cs="Times New Roman" w:eastAsia="Times New Roman" w:hAnsi="Times New Roman"/>
          <w:sz w:val="24"/>
          <w:szCs w:val="24"/>
        </w:rPr>
        <w:t xml:space="preserve">approximately 4,800 (excluding abstract, references, tables)</w:t>
      </w:r>
    </w:p>
    <w:p>
      <w:pPr>
        <w:spacing w:before="360" w:line="480" w:lineRule="auto"/>
      </w:pPr>
      <w:r>
        <w:rPr>
          <w:rFonts w:ascii="Times New Roman" w:cs="Times New Roman" w:eastAsia="Times New Roman" w:hAnsi="Times New Roman"/>
          <w:b/>
          <w:bCs/>
          <w:sz w:val="24"/>
          <w:szCs w:val="24"/>
        </w:rPr>
        <w:t xml:space="preserve">Source of funding: </w:t>
      </w: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spacing w:after="0" w:before="0" w:line="480" w:lineRule="auto"/>
        <w:jc w:val="both"/>
      </w:pPr>
      <w:r>
        <w:rPr>
          <w:rFonts w:ascii="Times New Roman" w:cs="Times New Roman" w:eastAsia="Times New Roman" w:hAnsi="Times New Roman"/>
          <w:b/>
          <w:bCs/>
          <w:sz w:val="24"/>
          <w:szCs w:val="24"/>
        </w:rPr>
        <w:t xml:space="preserve">Conflicts of interest: </w:t>
      </w:r>
      <w:r>
        <w:rPr>
          <w:rFonts w:ascii="Times New Roman" w:cs="Times New Roman" w:eastAsia="Times New Roman" w:hAnsi="Times New Roman"/>
          <w:sz w:val="24"/>
          <w:szCs w:val="24"/>
        </w:rPr>
        <w:t xml:space="preserve">The author declares no conflicts of interest.</w:t>
      </w:r>
    </w:p>
    <w:p>
      <w:pPr>
        <w:spacing w:after="0" w:before="0" w:line="480" w:lineRule="auto"/>
        <w:jc w:val="both"/>
      </w:pPr>
      <w:r>
        <w:rPr>
          <w:rFonts w:ascii="Times New Roman" w:cs="Times New Roman" w:eastAsia="Times New Roman" w:hAnsi="Times New Roman"/>
          <w:b/>
          <w:bCs/>
          <w:sz w:val="24"/>
          <w:szCs w:val="24"/>
        </w:rPr>
        <w:t xml:space="preserve">Previous presentation: </w:t>
      </w:r>
      <w:r>
        <w:rPr>
          <w:rFonts w:ascii="Times New Roman" w:cs="Times New Roman" w:eastAsia="Times New Roman" w:hAnsi="Times New Roman"/>
          <w:sz w:val="24"/>
          <w:szCs w:val="24"/>
        </w:rPr>
        <w:t xml:space="preserve">This work has not been previously published or presented at any conference.</w:t>
      </w:r>
    </w:p>
    <w:p>
      <w:pPr>
        <w:sectPr>
          <w:footerReference w:type="default" r:id="rId7"/>
          <w:type w:val="nextPage"/>
          <w:pgSz w:w="11906" w:h="16838" w:orient="portrait"/>
          <w:pgMar w:top="1417" w:right="1417" w:bottom="1417" w:left="1417" w:header="708" w:footer="708" w:gutter="0"/>
          <w:pgNumType/>
          <w:docGrid w:linePitch="360"/>
        </w:sectPr>
      </w:pPr>
    </w:p>
    <w:p>
      <w:pPr>
        <w:spacing w:line="480" w:lineRule="auto"/>
        <w:jc w:val="center"/>
      </w:pPr>
      <w:r>
        <w:rPr>
          <w:rFonts w:ascii="Times New Roman" w:cs="Times New Roman" w:eastAsia="Times New Roman" w:hAnsi="Times New Roman"/>
          <w:b/>
          <w:bCs/>
          <w:sz w:val="26"/>
          <w:szCs w:val="26"/>
        </w:rPr>
        <w:t xml:space="preserve">Two Decades of Keratoconus Research in Saudi Arabia: A Bibliometric Analysis (2000–2025)</w:t>
      </w:r>
    </w:p>
    <w:p>
      <w:pPr>
        <w:spacing w:after="60" w:before="240" w:line="480" w:lineRule="auto"/>
      </w:pPr>
      <w:r>
        <w:rPr>
          <w:rFonts w:ascii="Times New Roman" w:cs="Times New Roman" w:eastAsia="Times New Roman" w:hAnsi="Times New Roman"/>
          <w:b/>
          <w:bCs/>
          <w:sz w:val="26"/>
          <w:szCs w:val="26"/>
        </w:rPr>
        <w:t xml:space="preserve">Abstract</w:t>
      </w:r>
    </w:p>
    <w:p>
      <w:pPr>
        <w:spacing w:after="0" w:before="0" w:line="480" w:lineRule="auto"/>
        <w:jc w:val="both"/>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Keratoconus is a progressive corneal ectasia causing significant visual impairment, disproportionately affecting the Middle East. Saudi Arabia reports the world's highest population-based keratoconus prevalence (4.79% in pediatric patients). Despite rapid expansion of Saudi ophthalmic research under Vision 2030, no bibliometric analysis has mapped the trajectory, institutional structure, or thematic gaps of Saudi keratoconus research.</w:t>
      </w:r>
    </w:p>
    <w:p>
      <w:pPr>
        <w:spacing w:after="0" w:before="0" w:line="480" w:lineRule="auto"/>
        <w:jc w:val="both"/>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A systematic analysis used PubMed and Scopus, retrieving publications with Saudi affiliations on keratoconus from 2000 to 2025. After deduplication and topic-relevance screening, 367 records were retained for trend analysis and 118 keratoconus-specific records for institutional and citation analyses. Trends, collaboration, co-authorship, and keyword co-occurrence were analyzed using Python, VOSviewer, and Biblioshiny.</w:t>
      </w:r>
    </w:p>
    <w:p>
      <w:pPr>
        <w:spacing w:after="0" w:before="0" w:line="480" w:lineRule="auto"/>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 total of 367 publications spanning 183 journals and 1,542 authors were identified. Annual output showed three phases — emergence, consolidation, and acceleration — with a full-period compound annual growth rate (CAGR) of 16.1% per year, peaking at 50 publications in 2022; the Vision 2030 phase reached 30.8% per year. King Khaled Eye Specialist Hospital, Riyadh, dominated (38 publications), followed by King Abdulaziz University, Jeddah (25). The international collaboration rate was 32.2%, led by the United States (11) and Egypt (8); Turkey and Iran were absent. Co-authorship analysis showed 59.1% of productive authors as isolated nodes. Corneal crosslinking (CXL) was absent from top keywords. The keratoconus-specific H-index was 20.</w:t>
      </w:r>
    </w:p>
    <w:p>
      <w:pPr>
        <w:spacing w:after="0" w:before="0" w:line="480" w:lineRule="auto"/>
        <w:jc w:val="both"/>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Saudi keratoconus research has grown substantially but remains geographically concentrated, structurally fragmented, and lacking a CXL research program. A national research network, terminology standardization, and regional collaboration are recommended.</w:t>
      </w:r>
    </w:p>
    <w:p>
      <w:pPr>
        <w:spacing w:before="120" w:line="48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Bibliometric analysis, corneal crosslinking, corneal ectasia, keratoconus, Saudi Arabia, scientometrics</w:t>
      </w:r>
    </w:p>
    <w:p>
      <w:pPr>
        <w:spacing w:after="60" w:before="240" w:line="480" w:lineRule="auto"/>
      </w:pPr>
      <w:r>
        <w:rPr>
          <w:rFonts w:ascii="Times New Roman" w:cs="Times New Roman" w:eastAsia="Times New Roman" w:hAnsi="Times New Roman"/>
          <w:b/>
          <w:bCs/>
          <w:sz w:val="26"/>
          <w:szCs w:val="26"/>
        </w:rPr>
        <w:t xml:space="preserve">Introduction</w:t>
      </w:r>
    </w:p>
    <w:p>
      <w:pPr>
        <w:spacing w:after="0" w:before="0" w:line="480" w:lineRule="auto"/>
        <w:jc w:val="both"/>
      </w:pPr>
      <w:r>
        <w:rPr>
          <w:rFonts w:ascii="Times New Roman" w:cs="Times New Roman" w:eastAsia="Times New Roman" w:hAnsi="Times New Roman"/>
          <w:sz w:val="24"/>
          <w:szCs w:val="24"/>
        </w:rPr>
        <w:t xml:space="preserve">Keratoconus is a progressive, bilateral corneal ectasia causing irregular astigmatism and visual impairment.</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Its global prevalence is approximately 1.38 per 1,000,</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yet Saudi Arabia reports a pediatric prevalence of 4.79% — the highest population-based figure worldwide — driven by ultraviolet exposure, low humidity, consanguinity, and eye rubbing.</w:t>
      </w:r>
      <w:r>
        <w:rPr>
          <w:rFonts w:ascii="Times New Roman" w:cs="Times New Roman" w:eastAsia="Times New Roman" w:hAnsi="Times New Roman"/>
          <w:sz w:val="20"/>
          <w:szCs w:val="20"/>
          <w:vertAlign w:val="superscript"/>
        </w:rPr>
        <w:t xml:space="preserve">[3-5]</w:t>
      </w:r>
      <w:r>
        <w:rPr>
          <w:rFonts w:ascii="Times New Roman" w:cs="Times New Roman" w:eastAsia="Times New Roman" w:hAnsi="Times New Roman"/>
          <w:sz w:val="24"/>
          <w:szCs w:val="24"/>
        </w:rPr>
        <w:t xml:space="preserve"> Globally, keratoconus research surged after corneal collagen crosslinking (CXL) emerged,</w:t>
      </w:r>
      <w:r>
        <w:rPr>
          <w:rFonts w:ascii="Times New Roman" w:cs="Times New Roman" w:eastAsia="Times New Roman" w:hAnsi="Times New Roman"/>
          <w:sz w:val="20"/>
          <w:szCs w:val="20"/>
          <w:vertAlign w:val="superscript"/>
        </w:rPr>
        <w:t xml:space="preserve">[8]</w:t>
      </w:r>
      <w:r>
        <w:rPr>
          <w:rFonts w:ascii="Times New Roman" w:cs="Times New Roman" w:eastAsia="Times New Roman" w:hAnsi="Times New Roman"/>
          <w:sz w:val="24"/>
          <w:szCs w:val="24"/>
        </w:rPr>
        <w:t xml:space="preserve"> with artificial intelligence now a dominant frontier.</w:t>
      </w:r>
      <w:r>
        <w:rPr>
          <w:rFonts w:ascii="Times New Roman" w:cs="Times New Roman" w:eastAsia="Times New Roman" w:hAnsi="Times New Roman"/>
          <w:sz w:val="20"/>
          <w:szCs w:val="20"/>
          <w:vertAlign w:val="superscript"/>
        </w:rPr>
        <w:t xml:space="preserve">[15]</w:t>
      </w:r>
      <w:r>
        <w:rPr>
          <w:rFonts w:ascii="Times New Roman" w:cs="Times New Roman" w:eastAsia="Times New Roman" w:hAnsi="Times New Roman"/>
          <w:sz w:val="24"/>
          <w:szCs w:val="24"/>
        </w:rPr>
        <w:t xml:space="preserve"> Bibliometric analysis maps a field's intellectual structure, revealing collaboration networks and thematic gaps.</w:t>
      </w:r>
      <w:r>
        <w:rPr>
          <w:rFonts w:ascii="Times New Roman" w:cs="Times New Roman" w:eastAsia="Times New Roman" w:hAnsi="Times New Roman"/>
          <w:sz w:val="20"/>
          <w:szCs w:val="20"/>
          <w:vertAlign w:val="superscript"/>
        </w:rPr>
        <w:t xml:space="preserve">[14]</w:t>
      </w:r>
      <w:r>
        <w:rPr>
          <w:rFonts w:ascii="Times New Roman" w:cs="Times New Roman" w:eastAsia="Times New Roman" w:hAnsi="Times New Roman"/>
          <w:sz w:val="24"/>
          <w:szCs w:val="24"/>
        </w:rPr>
        <w:t xml:space="preserve"> Although global keratoconus bibliometric analyses exist, none has mapped Saudi research specifically — the gap this first national analysis addresses.</w:t>
      </w:r>
    </w:p>
    <w:p>
      <w:pPr>
        <w:spacing w:after="60" w:before="240" w:line="480" w:lineRule="auto"/>
      </w:pPr>
      <w:r>
        <w:rPr>
          <w:rFonts w:ascii="Times New Roman" w:cs="Times New Roman" w:eastAsia="Times New Roman" w:hAnsi="Times New Roman"/>
          <w:b/>
          <w:bCs/>
          <w:sz w:val="26"/>
          <w:szCs w:val="26"/>
        </w:rPr>
        <w:t xml:space="preserve">Methods</w:t>
      </w:r>
    </w:p>
    <w:p>
      <w:pPr>
        <w:spacing w:after="60" w:before="240" w:line="480" w:lineRule="auto"/>
      </w:pPr>
      <w:r>
        <w:rPr>
          <w:rFonts w:ascii="Times New Roman" w:cs="Times New Roman" w:eastAsia="Times New Roman" w:hAnsi="Times New Roman"/>
          <w:b/>
          <w:bCs/>
          <w:sz w:val="24"/>
          <w:szCs w:val="24"/>
        </w:rPr>
        <w:t xml:space="preserve">Search Strategy and Data Sources</w:t>
      </w:r>
    </w:p>
    <w:p>
      <w:pPr>
        <w:spacing w:after="0" w:before="0" w:line="480" w:lineRule="auto"/>
        <w:jc w:val="both"/>
      </w:pPr>
      <w:r>
        <w:rPr>
          <w:rFonts w:ascii="Times New Roman" w:cs="Times New Roman" w:eastAsia="Times New Roman" w:hAnsi="Times New Roman"/>
          <w:sz w:val="24"/>
          <w:szCs w:val="24"/>
        </w:rPr>
        <w:t xml:space="preserve">This study followed the Preferred Reporting Items for Systematic Reviews and Meta-Analyses extension for Scoping Reviews (PRISMA-ScR) guidelines. No ethical approval was required as only publicly available bibliographic data were used. A search was performed on June 1, 2025, using PubMed and Scopus with the string: ("keratoconus" OR "corneal ectasia" OR "corneal topography") AND ("Saudi Arabia" OR "KSA"), restricted to January 1, 2000, to December 31, 2025, with no language restrictions.</w:t>
      </w:r>
    </w:p>
    <w:p>
      <w:pPr>
        <w:spacing w:after="60" w:before="240" w:line="480" w:lineRule="auto"/>
      </w:pPr>
      <w:r>
        <w:rPr>
          <w:rFonts w:ascii="Times New Roman" w:cs="Times New Roman" w:eastAsia="Times New Roman" w:hAnsi="Times New Roman"/>
          <w:b/>
          <w:bCs/>
          <w:sz w:val="24"/>
          <w:szCs w:val="24"/>
        </w:rPr>
        <w:t xml:space="preserve">Inclusion, Exclusion, and Data Cleaning</w:t>
      </w:r>
    </w:p>
    <w:p>
      <w:pPr>
        <w:spacing w:after="0" w:before="0" w:line="480" w:lineRule="auto"/>
        <w:jc w:val="both"/>
      </w:pPr>
      <w:r>
        <w:rPr>
          <w:rFonts w:ascii="Times New Roman" w:cs="Times New Roman" w:eastAsia="Times New Roman" w:hAnsi="Times New Roman"/>
          <w:sz w:val="24"/>
          <w:szCs w:val="24"/>
        </w:rPr>
        <w:t xml:space="preserve">Records were included if they had at least one Saudi Arabian author affiliation and keratoconus-related content. Records from PubMed (242) and Scopus (1,281) were merged (1,523), deduplicated by digital object identifier (267 removed) and title (13 removed), and filtered to Saudi-affiliated records (876 non-Saudi removed). A topic-relevance filter yielded a broad dataset of 367 records for trend and collaboration analysis and a stricter keratoconus-specific dataset of 118 records for institutional and citation analyses. Institution name variants were normalized using fuzzy string matching.</w:t>
      </w:r>
    </w:p>
    <w:p>
      <w:pPr>
        <w:spacing w:after="60" w:before="240" w:line="480" w:lineRule="auto"/>
      </w:pPr>
      <w:r>
        <w:rPr>
          <w:rFonts w:ascii="Times New Roman" w:cs="Times New Roman" w:eastAsia="Times New Roman" w:hAnsi="Times New Roman"/>
          <w:b/>
          <w:bCs/>
          <w:sz w:val="24"/>
          <w:szCs w:val="24"/>
        </w:rPr>
        <w:t xml:space="preserve">Bibliometric Indicators and Analytical Tools</w:t>
      </w:r>
    </w:p>
    <w:p>
      <w:pPr>
        <w:spacing w:after="0" w:before="0" w:line="480" w:lineRule="auto"/>
        <w:jc w:val="both"/>
      </w:pPr>
      <w:r>
        <w:rPr>
          <w:rFonts w:ascii="Times New Roman" w:cs="Times New Roman" w:eastAsia="Times New Roman" w:hAnsi="Times New Roman"/>
          <w:sz w:val="24"/>
          <w:szCs w:val="24"/>
        </w:rPr>
        <w:t xml:space="preserve">Compound annual growth rate (CAGR) was calculated as (End/Start)</w:t>
      </w:r>
      <w:r>
        <w:rPr>
          <w:rFonts w:ascii="Times New Roman" w:cs="Times New Roman" w:eastAsia="Times New Roman" w:hAnsi="Times New Roman"/>
          <w:sz w:val="18"/>
          <w:szCs w:val="18"/>
          <w:vertAlign w:val="superscript"/>
        </w:rPr>
        <w:t xml:space="preserve">(1/n)</w:t>
      </w:r>
      <w:r>
        <w:rPr>
          <w:rFonts w:ascii="Times New Roman" w:cs="Times New Roman" w:eastAsia="Times New Roman" w:hAnsi="Times New Roman"/>
          <w:sz w:val="24"/>
          <w:szCs w:val="24"/>
        </w:rPr>
        <w:t xml:space="preserve"> − 1, applied to the full period (2000–2024) and the Vision 2030 phase (2016–2022), and benchmarked against the global keratoconus CAGR of 5.8% derived from published figures.</w:t>
      </w:r>
      <w:r>
        <w:rPr>
          <w:rFonts w:ascii="Times New Roman" w:cs="Times New Roman" w:eastAsia="Times New Roman" w:hAnsi="Times New Roman"/>
          <w:sz w:val="20"/>
          <w:szCs w:val="20"/>
          <w:vertAlign w:val="superscript"/>
        </w:rPr>
        <w:t xml:space="preserve">[8]</w:t>
      </w:r>
      <w:r>
        <w:rPr>
          <w:rFonts w:ascii="Times New Roman" w:cs="Times New Roman" w:eastAsia="Times New Roman" w:hAnsi="Times New Roman"/>
          <w:sz w:val="24"/>
          <w:szCs w:val="24"/>
        </w:rPr>
        <w:t xml:space="preserve"> The H-index was calculated from the keratoconus-specific dataset only, excluding off-topic high-citation records. All processing and figures used Python (version 3.11) with pandas, matplotlib, seaborn, and geopandas. Network maps were generated in VOSviewer (version 1.6.20; Leiden University, Leiden, The Netherlands) using full counting, with a minimum keyword co-occurrence threshold of three.</w:t>
      </w:r>
    </w:p>
    <w:p>
      <w:pPr>
        <w:spacing w:after="60" w:before="240" w:line="480" w:lineRule="auto"/>
      </w:pPr>
      <w:r>
        <w:rPr>
          <w:rFonts w:ascii="Times New Roman" w:cs="Times New Roman" w:eastAsia="Times New Roman" w:hAnsi="Times New Roman"/>
          <w:b/>
          <w:bCs/>
          <w:sz w:val="24"/>
          <w:szCs w:val="24"/>
        </w:rPr>
        <w:t xml:space="preserve">Temporal and Thematic Analysis</w:t>
      </w:r>
    </w:p>
    <w:p>
      <w:pPr>
        <w:spacing w:after="0" w:before="0" w:line="480" w:lineRule="auto"/>
        <w:jc w:val="both"/>
      </w:pPr>
      <w:r>
        <w:rPr>
          <w:rFonts w:ascii="Times New Roman" w:cs="Times New Roman" w:eastAsia="Times New Roman" w:hAnsi="Times New Roman"/>
          <w:sz w:val="24"/>
          <w:szCs w:val="24"/>
        </w:rPr>
        <w:t xml:space="preserve">The study period was divided into an early period (2000–2012) and a recent period (2013–2024), with 2008 (CXL adoption) and 2016 (Vision 2030) marked as milestones. The year 2026 partial data were excluded from trend comparisons. International collaboration was defined as any paper with at least one Saudi and one non-Saudi affiliation. Keyword co-occurrence used merged author, index, MeSH, and title-derived terms, with non-thematic indexing terms removed.</w:t>
      </w:r>
    </w:p>
    <w:p>
      <w:pPr>
        <w:spacing w:after="60" w:before="240" w:line="480" w:lineRule="auto"/>
      </w:pPr>
      <w:r>
        <w:rPr>
          <w:rFonts w:ascii="Times New Roman" w:cs="Times New Roman" w:eastAsia="Times New Roman" w:hAnsi="Times New Roman"/>
          <w:b/>
          <w:bCs/>
          <w:sz w:val="26"/>
          <w:szCs w:val="26"/>
        </w:rPr>
        <w:t xml:space="preserve">Results</w:t>
      </w:r>
    </w:p>
    <w:p>
      <w:pPr>
        <w:spacing w:after="0" w:before="0" w:line="480" w:lineRule="auto"/>
        <w:jc w:val="both"/>
      </w:pPr>
      <w:r>
        <w:rPr>
          <w:rFonts w:ascii="Times New Roman" w:cs="Times New Roman" w:eastAsia="Times New Roman" w:hAnsi="Times New Roman"/>
          <w:sz w:val="24"/>
          <w:szCs w:val="24"/>
        </w:rPr>
        <w:t xml:space="preserve">A total of 367 publications spanning 183 journals and 1,542 authors were identified; the keratoconus-specific dataset comprised 118 publications. The mean citation count in the keratoconus-specific corpus was 15.1 (median, 1), reflecting right-skew and a high proportion of recent uncited papers. Key indicators are summarized in Table 1.</w:t>
      </w:r>
    </w:p>
    <w:p>
      <w:pPr>
        <w:spacing w:after="60" w:before="240" w:line="480" w:lineRule="auto"/>
      </w:pPr>
      <w:r>
        <w:rPr>
          <w:rFonts w:ascii="Times New Roman" w:cs="Times New Roman" w:eastAsia="Times New Roman" w:hAnsi="Times New Roman"/>
          <w:b/>
          <w:bCs/>
          <w:sz w:val="24"/>
          <w:szCs w:val="24"/>
        </w:rPr>
        <w:t xml:space="preserve">Annual Publication Trend</w:t>
      </w:r>
    </w:p>
    <w:p>
      <w:pPr>
        <w:spacing w:after="0" w:before="0" w:line="480" w:lineRule="auto"/>
        <w:jc w:val="both"/>
      </w:pPr>
      <w:r>
        <w:rPr>
          <w:rFonts w:ascii="Times New Roman" w:cs="Times New Roman" w:eastAsia="Times New Roman" w:hAnsi="Times New Roman"/>
          <w:sz w:val="24"/>
          <w:szCs w:val="24"/>
        </w:rPr>
        <w:t xml:space="preserve">Annual output showed three phases (Figure 1): emergence (2000–2008, 1–9 papers/year), consolidation (2008–2016, 6–13 papers/year), and acceleration (2016–2025), peaking at 50 papers in 2022. The full-period CAGR was 16.1% per year — 2.8 times the global keratoconus rate of 5.8%</w:t>
      </w:r>
      <w:r>
        <w:rPr>
          <w:rFonts w:ascii="Times New Roman" w:cs="Times New Roman" w:eastAsia="Times New Roman" w:hAnsi="Times New Roman"/>
          <w:sz w:val="20"/>
          <w:szCs w:val="20"/>
          <w:vertAlign w:val="superscript"/>
        </w:rPr>
        <w:t xml:space="preserve">[8]</w:t>
      </w:r>
      <w:r>
        <w:rPr>
          <w:rFonts w:ascii="Times New Roman" w:cs="Times New Roman" w:eastAsia="Times New Roman" w:hAnsi="Times New Roman"/>
          <w:sz w:val="24"/>
          <w:szCs w:val="24"/>
        </w:rPr>
        <w:t xml:space="preserve"> — and the Vision 2030 phase (2016–2022) achieved 30.8% per year, exceeding the 2.11-fold growth in Arab ophthalmology over the comparable period.</w:t>
      </w:r>
      <w:r>
        <w:rPr>
          <w:rFonts w:ascii="Times New Roman" w:cs="Times New Roman" w:eastAsia="Times New Roman" w:hAnsi="Times New Roman"/>
          <w:sz w:val="20"/>
          <w:szCs w:val="20"/>
          <w:vertAlign w:val="superscript"/>
        </w:rPr>
        <w:t xml:space="preserve">[10]</w:t>
      </w:r>
    </w:p>
    <w:p>
      <w:pPr>
        <w:spacing w:after="60" w:before="240" w:line="480" w:lineRule="auto"/>
      </w:pPr>
      <w:r>
        <w:rPr>
          <w:rFonts w:ascii="Times New Roman" w:cs="Times New Roman" w:eastAsia="Times New Roman" w:hAnsi="Times New Roman"/>
          <w:b/>
          <w:bCs/>
          <w:sz w:val="24"/>
          <w:szCs w:val="24"/>
        </w:rPr>
        <w:t xml:space="preserve">Journal Distribution and Citations</w:t>
      </w:r>
    </w:p>
    <w:p>
      <w:pPr>
        <w:spacing w:after="0" w:before="0" w:line="480" w:lineRule="auto"/>
        <w:jc w:val="both"/>
      </w:pPr>
      <w:r>
        <w:rPr>
          <w:rFonts w:ascii="Times New Roman" w:cs="Times New Roman" w:eastAsia="Times New Roman" w:hAnsi="Times New Roman"/>
          <w:sz w:val="24"/>
          <w:szCs w:val="24"/>
        </w:rPr>
        <w:t xml:space="preserve">Publications were dispersed across 183 journals (mean, 2.0 per journal). The leading journals were the Saudi Journal of Ophthalmology (41 after normalization), Clinical Ophthalmology (13), and the Middle East African Journal of Ophthalmology (12). The keratoconus-specific H-index was 20, with 20 papers (16.9%) cited at least 20 times and 31 (26.3%) cited at least 10 times (Table 2).</w:t>
      </w:r>
    </w:p>
    <w:p>
      <w:pPr>
        <w:spacing w:after="60" w:before="240" w:line="480" w:lineRule="auto"/>
      </w:pPr>
      <w:r>
        <w:rPr>
          <w:rFonts w:ascii="Times New Roman" w:cs="Times New Roman" w:eastAsia="Times New Roman" w:hAnsi="Times New Roman"/>
          <w:b/>
          <w:bCs/>
          <w:sz w:val="24"/>
          <w:szCs w:val="24"/>
        </w:rPr>
        <w:t xml:space="preserve">Institutional Productivity</w:t>
      </w:r>
    </w:p>
    <w:p>
      <w:pPr>
        <w:spacing w:after="0" w:before="0" w:line="480" w:lineRule="auto"/>
        <w:jc w:val="both"/>
      </w:pPr>
      <w:r>
        <w:rPr>
          <w:rFonts w:ascii="Times New Roman" w:cs="Times New Roman" w:eastAsia="Times New Roman" w:hAnsi="Times New Roman"/>
          <w:sz w:val="24"/>
          <w:szCs w:val="24"/>
        </w:rPr>
        <w:t xml:space="preserve">Analysis of the keratoconus-specific dataset identified 135 contributing institutions (Figure 3). King Khaled Eye Specialist Hospital, Riyadh, dominated with 38 publications, followed by King Abdulaziz University, Jeddah (25), and Magrabi Eye Hospital, Jeddah (7). No institutions from Makkah, Tabuk, Hail, or northern regions appeared among top contributors. Three Italian institutions collectively contributed 15 publications, indicating a sustained Saudi–Italian collaboration.</w:t>
      </w:r>
    </w:p>
    <w:p>
      <w:pPr>
        <w:spacing w:after="60" w:before="240" w:line="480" w:lineRule="auto"/>
      </w:pPr>
      <w:r>
        <w:rPr>
          <w:rFonts w:ascii="Times New Roman" w:cs="Times New Roman" w:eastAsia="Times New Roman" w:hAnsi="Times New Roman"/>
          <w:b/>
          <w:bCs/>
          <w:sz w:val="24"/>
          <w:szCs w:val="24"/>
        </w:rPr>
        <w:t xml:space="preserve">International Collaboration</w:t>
      </w:r>
    </w:p>
    <w:p>
      <w:pPr>
        <w:spacing w:after="0" w:before="0" w:line="480" w:lineRule="auto"/>
        <w:jc w:val="both"/>
      </w:pPr>
      <w:r>
        <w:rPr>
          <w:rFonts w:ascii="Times New Roman" w:cs="Times New Roman" w:eastAsia="Times New Roman" w:hAnsi="Times New Roman"/>
          <w:sz w:val="24"/>
          <w:szCs w:val="24"/>
        </w:rPr>
        <w:t xml:space="preserve">Of 367 publications, 118 (32.2%) were internationally collaborative (Figure 2). The United States led (11), followed by Egypt (8), the United Kingdom (6), Italy (4), Singapore (3), Switzerland (2), and Jordan (2). Turkey and Iran — ranked fourth and tenth globally for keratoconus research</w:t>
      </w:r>
      <w:r>
        <w:rPr>
          <w:rFonts w:ascii="Times New Roman" w:cs="Times New Roman" w:eastAsia="Times New Roman" w:hAnsi="Times New Roman"/>
          <w:sz w:val="20"/>
          <w:szCs w:val="20"/>
          <w:vertAlign w:val="superscript"/>
        </w:rPr>
        <w:t xml:space="preserve">[8]</w:t>
      </w:r>
      <w:r>
        <w:rPr>
          <w:rFonts w:ascii="Times New Roman" w:cs="Times New Roman" w:eastAsia="Times New Roman" w:hAnsi="Times New Roman"/>
          <w:sz w:val="24"/>
          <w:szCs w:val="24"/>
        </w:rPr>
        <w:t xml:space="preserve"> — were entirely absent, as was collaboration with other Gulf Cooperation Council states beyond Jordan.</w:t>
      </w:r>
    </w:p>
    <w:p>
      <w:pPr>
        <w:spacing w:after="60" w:before="240" w:line="480" w:lineRule="auto"/>
      </w:pPr>
      <w:r>
        <w:rPr>
          <w:rFonts w:ascii="Times New Roman" w:cs="Times New Roman" w:eastAsia="Times New Roman" w:hAnsi="Times New Roman"/>
          <w:b/>
          <w:bCs/>
          <w:sz w:val="24"/>
          <w:szCs w:val="24"/>
        </w:rPr>
        <w:t xml:space="preserve">Co-authorship and Keyword Networks</w:t>
      </w:r>
    </w:p>
    <w:p>
      <w:pPr>
        <w:spacing w:after="0" w:before="0" w:line="480" w:lineRule="auto"/>
        <w:jc w:val="both"/>
      </w:pPr>
      <w:r>
        <w:rPr>
          <w:rFonts w:ascii="Times New Roman" w:cs="Times New Roman" w:eastAsia="Times New Roman" w:hAnsi="Times New Roman"/>
          <w:sz w:val="24"/>
          <w:szCs w:val="24"/>
        </w:rPr>
        <w:t xml:space="preserve">Co-authorship analysis (Figure 4) identified 22 authors with two or more publications, of whom 9 (40.9%) formed four distinct clusters and 13 (59.1%) were isolated nodes with no inter-cluster links. Keyword co-occurrence (Figure 5) identified 49 terms in five clusters: diagnostics, surgical outcomes, refractive co-morbidities, corneal biology and crosslinking, and emerging technology. Riboflavin, contact lenses, and wound healing appeared as isolated nodes. The isolation of riboflavin, despite the presence of "corneal collagen cross-linking" in the connected network, indicates inconsistent CXL keyword usage.</w:t>
      </w:r>
    </w:p>
    <w:p>
      <w:pPr>
        <w:spacing w:after="60" w:before="240" w:line="480" w:lineRule="auto"/>
      </w:pPr>
      <w:r>
        <w:rPr>
          <w:rFonts w:ascii="Times New Roman" w:cs="Times New Roman" w:eastAsia="Times New Roman" w:hAnsi="Times New Roman"/>
          <w:b/>
          <w:bCs/>
          <w:sz w:val="24"/>
          <w:szCs w:val="24"/>
        </w:rPr>
        <w:t xml:space="preserve">Thematic Evolution</w:t>
      </w:r>
    </w:p>
    <w:p>
      <w:pPr>
        <w:spacing w:after="0" w:before="0" w:line="480" w:lineRule="auto"/>
        <w:jc w:val="both"/>
      </w:pPr>
      <w:r>
        <w:rPr>
          <w:rFonts w:ascii="Times New Roman" w:cs="Times New Roman" w:eastAsia="Times New Roman" w:hAnsi="Times New Roman"/>
          <w:sz w:val="24"/>
          <w:szCs w:val="24"/>
        </w:rPr>
        <w:t xml:space="preserve">Across the two periods (Figure 6), corneal transplantation and penetrating keratoplasty dominated both, while keratoconus as a primary term rose from 10 to 43 occurrences. Six keywords persisted across both periods. Corneal crosslinking did not appear among the top keywords in either period, a finding confirmed across complete keyword coverage.</w:t>
      </w:r>
    </w:p>
    <w:p>
      <w:pPr>
        <w:spacing w:after="60" w:before="240" w:line="480" w:lineRule="auto"/>
      </w:pPr>
      <w:r>
        <w:rPr>
          <w:rFonts w:ascii="Times New Roman" w:cs="Times New Roman" w:eastAsia="Times New Roman" w:hAnsi="Times New Roman"/>
          <w:b/>
          <w:bCs/>
          <w:sz w:val="26"/>
          <w:szCs w:val="26"/>
        </w:rPr>
        <w:t xml:space="preserve">Discussion</w:t>
      </w:r>
    </w:p>
    <w:p>
      <w:pPr>
        <w:spacing w:after="0" w:before="0" w:line="480" w:lineRule="auto"/>
        <w:jc w:val="both"/>
      </w:pPr>
      <w:r>
        <w:rPr>
          <w:rFonts w:ascii="Times New Roman" w:cs="Times New Roman" w:eastAsia="Times New Roman" w:hAnsi="Times New Roman"/>
          <w:sz w:val="24"/>
          <w:szCs w:val="24"/>
        </w:rPr>
        <w:t xml:space="preserve">This first bibliometric analysis of Saudi keratoconus research reveals a field that has expanded rapidly — particularly since 2016 — but remains structurally fragmented and thematically incomplete relative to global trends. Saudi Arabia's 367 publications represent approximately 8.3% of estimated global keratoconus output (4,419 papers),</w:t>
      </w:r>
      <w:r>
        <w:rPr>
          <w:rFonts w:ascii="Times New Roman" w:cs="Times New Roman" w:eastAsia="Times New Roman" w:hAnsi="Times New Roman"/>
          <w:sz w:val="20"/>
          <w:szCs w:val="20"/>
          <w:vertAlign w:val="superscript"/>
        </w:rPr>
        <w:t xml:space="preserve">[14]</w:t>
      </w:r>
      <w:r>
        <w:rPr>
          <w:rFonts w:ascii="Times New Roman" w:cs="Times New Roman" w:eastAsia="Times New Roman" w:hAnsi="Times New Roman"/>
          <w:sz w:val="24"/>
          <w:szCs w:val="24"/>
        </w:rPr>
        <w:t xml:space="preserve"> despite not ranking in the global top ten.</w:t>
      </w:r>
      <w:r>
        <w:rPr>
          <w:rFonts w:ascii="Times New Roman" w:cs="Times New Roman" w:eastAsia="Times New Roman" w:hAnsi="Times New Roman"/>
          <w:sz w:val="20"/>
          <w:szCs w:val="20"/>
          <w:vertAlign w:val="superscript"/>
        </w:rPr>
        <w:t xml:space="preserve">[8]</w:t>
      </w:r>
      <w:r>
        <w:rPr>
          <w:rFonts w:ascii="Times New Roman" w:cs="Times New Roman" w:eastAsia="Times New Roman" w:hAnsi="Times New Roman"/>
          <w:sz w:val="24"/>
          <w:szCs w:val="24"/>
        </w:rPr>
        <w:t xml:space="preserve"> The fivefold growth between 2016 and 2022 (CAGR 30.8%) provides the first field-specific evidence of Vision 2030's research impact, exceeding the 2.11-fold growth in Arab ophthalmology broadly.</w:t>
      </w:r>
      <w:r>
        <w:rPr>
          <w:rFonts w:ascii="Times New Roman" w:cs="Times New Roman" w:eastAsia="Times New Roman" w:hAnsi="Times New Roman"/>
          <w:sz w:val="20"/>
          <w:szCs w:val="20"/>
          <w:vertAlign w:val="superscript"/>
        </w:rPr>
        <w:t xml:space="preserve">[10]</w:t>
      </w:r>
    </w:p>
    <w:p>
      <w:pPr>
        <w:spacing w:after="0" w:before="0" w:line="480" w:lineRule="auto"/>
        <w:jc w:val="both"/>
      </w:pPr>
      <w:r>
        <w:rPr>
          <w:rFonts w:ascii="Times New Roman" w:cs="Times New Roman" w:eastAsia="Times New Roman" w:hAnsi="Times New Roman"/>
          <w:sz w:val="24"/>
          <w:szCs w:val="24"/>
        </w:rPr>
        <w:t xml:space="preserve">The high disease burden justifies this research expansion. Saudi Arabia reports the world's highest pediatric keratoconus prevalence (4.79%),</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4"/>
          <w:szCs w:val="24"/>
        </w:rPr>
        <w:t xml:space="preserve"> driven by ultraviolet exposure, low humidity,</w:t>
      </w:r>
      <w:r>
        <w:rPr>
          <w:rFonts w:ascii="Times New Roman" w:cs="Times New Roman" w:eastAsia="Times New Roman" w:hAnsi="Times New Roman"/>
          <w:sz w:val="20"/>
          <w:szCs w:val="20"/>
          <w:vertAlign w:val="superscript"/>
        </w:rPr>
        <w:t xml:space="preserve">[11]</w:t>
      </w:r>
      <w:r>
        <w:rPr>
          <w:rFonts w:ascii="Times New Roman" w:cs="Times New Roman" w:eastAsia="Times New Roman" w:hAnsi="Times New Roman"/>
          <w:sz w:val="24"/>
          <w:szCs w:val="24"/>
        </w:rPr>
        <w:t xml:space="preserve"> consanguinity,</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4"/>
          <w:szCs w:val="24"/>
        </w:rPr>
        <w:t xml:space="preserve"> and eye rubbing.</w:t>
      </w:r>
      <w:r>
        <w:rPr>
          <w:rFonts w:ascii="Times New Roman" w:cs="Times New Roman" w:eastAsia="Times New Roman" w:hAnsi="Times New Roman"/>
          <w:sz w:val="20"/>
          <w:szCs w:val="20"/>
          <w:vertAlign w:val="superscript"/>
        </w:rPr>
        <w:t xml:space="preserve">[4]</w:t>
      </w:r>
    </w:p>
    <w:p>
      <w:pPr>
        <w:spacing w:after="0" w:before="0" w:line="480" w:lineRule="auto"/>
        <w:jc w:val="both"/>
      </w:pPr>
      <w:r>
        <w:rPr>
          <w:rFonts w:ascii="Times New Roman" w:cs="Times New Roman" w:eastAsia="Times New Roman" w:hAnsi="Times New Roman"/>
          <w:sz w:val="24"/>
          <w:szCs w:val="24"/>
        </w:rPr>
        <w:t xml:space="preserve">Institutional output was dominated by King Khaled Eye Specialist Hospital (38 of 118 keratoconus-specific publications), the most prolific ophthalmology institution in the Arab world,</w:t>
      </w:r>
      <w:r>
        <w:rPr>
          <w:rFonts w:ascii="Times New Roman" w:cs="Times New Roman" w:eastAsia="Times New Roman" w:hAnsi="Times New Roman"/>
          <w:sz w:val="20"/>
          <w:szCs w:val="20"/>
          <w:vertAlign w:val="superscript"/>
        </w:rPr>
        <w:t xml:space="preserve">[10]</w:t>
      </w:r>
      <w:r>
        <w:rPr>
          <w:rFonts w:ascii="Times New Roman" w:cs="Times New Roman" w:eastAsia="Times New Roman" w:hAnsi="Times New Roman"/>
          <w:sz w:val="24"/>
          <w:szCs w:val="24"/>
        </w:rPr>
        <w:t xml:space="preserve"> mirroring the global concentration seen at centers such as Moorfields Eye Hospital.</w:t>
      </w:r>
      <w:r>
        <w:rPr>
          <w:rFonts w:ascii="Times New Roman" w:cs="Times New Roman" w:eastAsia="Times New Roman" w:hAnsi="Times New Roman"/>
          <w:sz w:val="20"/>
          <w:szCs w:val="20"/>
          <w:vertAlign w:val="superscript"/>
        </w:rPr>
        <w:t xml:space="preserve">[19]</w:t>
      </w:r>
      <w:r>
        <w:rPr>
          <w:rFonts w:ascii="Times New Roman" w:cs="Times New Roman" w:eastAsia="Times New Roman" w:hAnsi="Times New Roman"/>
          <w:sz w:val="24"/>
          <w:szCs w:val="24"/>
        </w:rPr>
        <w:t xml:space="preserve"> However, this concentration creates geographic blind spots: Makkah, Tabuk, and northern regions were entirely absent.</w:t>
      </w:r>
    </w:p>
    <w:p>
      <w:pPr>
        <w:spacing w:after="0" w:before="0" w:line="480" w:lineRule="auto"/>
        <w:jc w:val="both"/>
      </w:pPr>
      <w:r>
        <w:rPr>
          <w:rFonts w:ascii="Times New Roman" w:cs="Times New Roman" w:eastAsia="Times New Roman" w:hAnsi="Times New Roman"/>
          <w:sz w:val="24"/>
          <w:szCs w:val="24"/>
        </w:rPr>
        <w:t xml:space="preserve">The 32.2% international collaboration rate exceeds the global average (22%) and the historical 9.8% rate for Saudi ophthalmology,</w:t>
      </w:r>
      <w:r>
        <w:rPr>
          <w:rFonts w:ascii="Times New Roman" w:cs="Times New Roman" w:eastAsia="Times New Roman" w:hAnsi="Times New Roman"/>
          <w:sz w:val="20"/>
          <w:szCs w:val="20"/>
          <w:vertAlign w:val="superscript"/>
        </w:rPr>
        <w:t xml:space="preserve">[10]</w:t>
      </w:r>
      <w:r>
        <w:rPr>
          <w:rFonts w:ascii="Times New Roman" w:cs="Times New Roman" w:eastAsia="Times New Roman" w:hAnsi="Times New Roman"/>
          <w:sz w:val="24"/>
          <w:szCs w:val="24"/>
        </w:rPr>
        <w:t xml:space="preserve"> yet Turkey and Iran — globally fourth and tenth for keratoconus research</w:t>
      </w:r>
      <w:r>
        <w:rPr>
          <w:rFonts w:ascii="Times New Roman" w:cs="Times New Roman" w:eastAsia="Times New Roman" w:hAnsi="Times New Roman"/>
          <w:sz w:val="20"/>
          <w:szCs w:val="20"/>
          <w:vertAlign w:val="superscript"/>
        </w:rPr>
        <w:t xml:space="preserve">[8]</w:t>
      </w:r>
      <w:r>
        <w:rPr>
          <w:rFonts w:ascii="Times New Roman" w:cs="Times New Roman" w:eastAsia="Times New Roman" w:hAnsi="Times New Roman"/>
          <w:sz w:val="24"/>
          <w:szCs w:val="24"/>
        </w:rPr>
        <w:t xml:space="preserve"> — were absent, representing the most significant missed regional opportunity. The keratoconus-specific H-index of 20 warrants context: Sweileh et al. reported aggregate H-indices of 51 for all Arab countries, 46 for Turkey, and 31 for Iran across all ophthalmology,</w:t>
      </w:r>
      <w:r>
        <w:rPr>
          <w:rFonts w:ascii="Times New Roman" w:cs="Times New Roman" w:eastAsia="Times New Roman" w:hAnsi="Times New Roman"/>
          <w:sz w:val="20"/>
          <w:szCs w:val="20"/>
          <w:vertAlign w:val="superscript"/>
        </w:rPr>
        <w:t xml:space="preserve">[24]</w:t>
      </w:r>
      <w:r>
        <w:rPr>
          <w:rFonts w:ascii="Times New Roman" w:cs="Times New Roman" w:eastAsia="Times New Roman" w:hAnsi="Times New Roman"/>
          <w:sz w:val="24"/>
          <w:szCs w:val="24"/>
        </w:rPr>
        <w:t xml:space="preserve"> so an H-index of 20 within a single disease sub-field represents a proportionally strong footprint, against ceiling benchmarks of 125 (global) and 91 (United States) for keratoconus specifically.</w:t>
      </w:r>
      <w:r>
        <w:rPr>
          <w:rFonts w:ascii="Times New Roman" w:cs="Times New Roman" w:eastAsia="Times New Roman" w:hAnsi="Times New Roman"/>
          <w:sz w:val="20"/>
          <w:szCs w:val="20"/>
          <w:vertAlign w:val="superscript"/>
        </w:rPr>
        <w:t xml:space="preserve">[14]</w:t>
      </w:r>
    </w:p>
    <w:p>
      <w:pPr>
        <w:spacing w:after="0" w:before="0" w:line="480" w:lineRule="auto"/>
        <w:jc w:val="both"/>
      </w:pPr>
      <w:r>
        <w:rPr>
          <w:rFonts w:ascii="Times New Roman" w:cs="Times New Roman" w:eastAsia="Times New Roman" w:hAnsi="Times New Roman"/>
          <w:sz w:val="24"/>
          <w:szCs w:val="24"/>
        </w:rPr>
        <w:t xml:space="preserve">The most clinically significant finding is the near-absence of corneal crosslinking from the Saudi keyword landscape. Globally, CXL has dominated keratoconus research since 2013, generating more than 7,000 publications,</w:t>
      </w:r>
      <w:r>
        <w:rPr>
          <w:rFonts w:ascii="Times New Roman" w:cs="Times New Roman" w:eastAsia="Times New Roman" w:hAnsi="Times New Roman"/>
          <w:sz w:val="20"/>
          <w:szCs w:val="20"/>
          <w:vertAlign w:val="superscript"/>
        </w:rPr>
        <w:t xml:space="preserve">[16]</w:t>
      </w:r>
      <w:r>
        <w:rPr>
          <w:rFonts w:ascii="Times New Roman" w:cs="Times New Roman" w:eastAsia="Times New Roman" w:hAnsi="Times New Roman"/>
          <w:sz w:val="24"/>
          <w:szCs w:val="24"/>
        </w:rPr>
        <w:t xml:space="preserve"> with "riboflavin" and "ultraviolet A" as central nodes.</w:t>
      </w:r>
      <w:r>
        <w:rPr>
          <w:rFonts w:ascii="Times New Roman" w:cs="Times New Roman" w:eastAsia="Times New Roman" w:hAnsi="Times New Roman"/>
          <w:sz w:val="20"/>
          <w:szCs w:val="20"/>
          <w:vertAlign w:val="superscript"/>
        </w:rPr>
        <w:t xml:space="preserve">[8]</w:t>
      </w:r>
      <w:r>
        <w:rPr>
          <w:rFonts w:ascii="Times New Roman" w:cs="Times New Roman" w:eastAsia="Times New Roman" w:hAnsi="Times New Roman"/>
          <w:sz w:val="24"/>
          <w:szCs w:val="24"/>
        </w:rPr>
        <w:t xml:space="preserve"> In Saudi research, riboflavin appeared as an isolated node, demonstrating keyword fragmentation. The dominance of transplantation keywords indicates that Saudi research is skewed toward end-stage surgical management rather than early-stage interventional strategies such as CXL — a misalignment with direct implications for outcomes in a population with the world's highest pediatric prevalence.</w:t>
      </w:r>
    </w:p>
    <w:p>
      <w:pPr>
        <w:spacing w:after="0" w:before="0" w:line="480" w:lineRule="auto"/>
        <w:jc w:val="both"/>
      </w:pPr>
      <w:r>
        <w:rPr>
          <w:rFonts w:ascii="Times New Roman" w:cs="Times New Roman" w:eastAsia="Times New Roman" w:hAnsi="Times New Roman"/>
          <w:sz w:val="24"/>
          <w:szCs w:val="24"/>
        </w:rPr>
        <w:t xml:space="preserve">Domestically, 59.1% of productive authors were isolated nodes, consistent with the within-team collaboration pattern reported globally.</w:t>
      </w:r>
      <w:r>
        <w:rPr>
          <w:rFonts w:ascii="Times New Roman" w:cs="Times New Roman" w:eastAsia="Times New Roman" w:hAnsi="Times New Roman"/>
          <w:sz w:val="20"/>
          <w:szCs w:val="20"/>
          <w:vertAlign w:val="superscript"/>
        </w:rPr>
        <w:t xml:space="preserve">[17]</w:t>
      </w:r>
      <w:r>
        <w:rPr>
          <w:rFonts w:ascii="Times New Roman" w:cs="Times New Roman" w:eastAsia="Times New Roman" w:hAnsi="Times New Roman"/>
          <w:sz w:val="24"/>
          <w:szCs w:val="24"/>
        </w:rPr>
        <w:t xml:space="preserve"> The absence of links between basic-science and clinical clusters is a barrier to translational research. The emergence of an artificial intelligence keyword cluster aligns with Vision 2030's technological priorities</w:t>
      </w:r>
      <w:r>
        <w:rPr>
          <w:rFonts w:ascii="Times New Roman" w:cs="Times New Roman" w:eastAsia="Times New Roman" w:hAnsi="Times New Roman"/>
          <w:sz w:val="20"/>
          <w:szCs w:val="20"/>
          <w:vertAlign w:val="superscript"/>
        </w:rPr>
        <w:t xml:space="preserve">[15]</w:t>
      </w:r>
      <w:r>
        <w:rPr>
          <w:rFonts w:ascii="Times New Roman" w:cs="Times New Roman" w:eastAsia="Times New Roman" w:hAnsi="Times New Roman"/>
          <w:sz w:val="24"/>
          <w:szCs w:val="24"/>
        </w:rPr>
        <w:t xml:space="preserve"> and represents an opportunity for Saudi-specific screening tools.</w:t>
      </w:r>
    </w:p>
    <w:p>
      <w:pPr>
        <w:spacing w:after="60" w:before="240" w:line="480" w:lineRule="auto"/>
      </w:pPr>
      <w:r>
        <w:rPr>
          <w:rFonts w:ascii="Times New Roman" w:cs="Times New Roman" w:eastAsia="Times New Roman" w:hAnsi="Times New Roman"/>
          <w:b/>
          <w:bCs/>
          <w:sz w:val="24"/>
          <w:szCs w:val="24"/>
        </w:rPr>
        <w:t xml:space="preserve">Recommendations</w:t>
      </w:r>
    </w:p>
    <w:p>
      <w:pPr>
        <w:spacing w:after="0" w:before="0" w:line="480" w:lineRule="auto"/>
        <w:jc w:val="both"/>
      </w:pPr>
      <w:r>
        <w:rPr>
          <w:rFonts w:ascii="Times New Roman" w:cs="Times New Roman" w:eastAsia="Times New Roman" w:hAnsi="Times New Roman"/>
          <w:sz w:val="24"/>
          <w:szCs w:val="24"/>
        </w:rPr>
        <w:t xml:space="preserve">Based on these findings, we recommend: (1) building regional research capacity outside Riyadh and Jeddah; (2) establishing structured bilateral agreements with Turkey, Iran, and Gulf Cooperation Council states; (3) creating a national CXL outcomes registry and standardizing CXL terminology; and (4) establishing a Saudi Keratoconus Research Network linking specialist, academic, and basic-science groups. A summary of findings and recommendations is provided in Table 3.</w:t>
      </w:r>
    </w:p>
    <w:p>
      <w:pPr>
        <w:spacing w:after="60" w:before="240" w:line="480" w:lineRule="auto"/>
      </w:pPr>
      <w:r>
        <w:rPr>
          <w:rFonts w:ascii="Times New Roman" w:cs="Times New Roman" w:eastAsia="Times New Roman" w:hAnsi="Times New Roman"/>
          <w:b/>
          <w:bCs/>
          <w:sz w:val="24"/>
          <w:szCs w:val="24"/>
        </w:rPr>
        <w:t xml:space="preserve">Limitations</w:t>
      </w:r>
    </w:p>
    <w:p>
      <w:pPr>
        <w:spacing w:after="0" w:before="0" w:line="480" w:lineRule="auto"/>
        <w:jc w:val="both"/>
      </w:pPr>
      <w:r>
        <w:rPr>
          <w:rFonts w:ascii="Times New Roman" w:cs="Times New Roman" w:eastAsia="Times New Roman" w:hAnsi="Times New Roman"/>
          <w:sz w:val="24"/>
          <w:szCs w:val="24"/>
        </w:rPr>
        <w:t xml:space="preserve">This study was limited to PubMed and Scopus, potentially undercounting regional journals. Citation counts reflect June 2025 values, introducing recency bias. The H-index was calculated from the keratoconus-specific dataset to avoid inflation by off-topic records; one 1997 review of chemical ocular injuries (499 citations) was excluded as not keratoconus-specific, reducing the apparent H-index from 44 (broad) to 20 (keratoconus-specific) but improving validity. Co-authorship analysis excluded single-publication authors. Bibliometric methods describe research output, not quality.</w:t>
      </w:r>
    </w:p>
    <w:p>
      <w:pPr>
        <w:spacing w:after="60" w:before="240" w:line="480" w:lineRule="auto"/>
      </w:pPr>
      <w:r>
        <w:rPr>
          <w:rFonts w:ascii="Times New Roman" w:cs="Times New Roman" w:eastAsia="Times New Roman" w:hAnsi="Times New Roman"/>
          <w:b/>
          <w:bCs/>
          <w:sz w:val="24"/>
          <w:szCs w:val="24"/>
        </w:rPr>
        <w:t xml:space="preserve">Conclusion</w:t>
      </w:r>
    </w:p>
    <w:p>
      <w:pPr>
        <w:spacing w:after="0" w:before="0" w:line="480" w:lineRule="auto"/>
        <w:jc w:val="both"/>
      </w:pPr>
      <w:r>
        <w:rPr>
          <w:rFonts w:ascii="Times New Roman" w:cs="Times New Roman" w:eastAsia="Times New Roman" w:hAnsi="Times New Roman"/>
          <w:sz w:val="24"/>
          <w:szCs w:val="24"/>
        </w:rPr>
        <w:t xml:space="preserve">Saudi keratoconus research has grown rapidly under Vision 2030 but remains geographically concentrated, structurally fragmented, limited in regional collaboration, and lacking a corneal crosslinking research program commensurate with its clinical adoption. Addressing these gaps through coordinated national infrastructure is essential if Saudi Arabia is to lead keratoconus research, consistent with its status as the country with the world's highest documented prevalence.</w:t>
      </w:r>
    </w:p>
    <w:p>
      <w:pPr>
        <w:spacing w:after="60" w:before="240" w:line="480" w:lineRule="auto"/>
      </w:pPr>
      <w:r>
        <w:rPr>
          <w:rFonts w:ascii="Times New Roman" w:cs="Times New Roman" w:eastAsia="Times New Roman" w:hAnsi="Times New Roman"/>
          <w:b/>
          <w:bCs/>
          <w:sz w:val="24"/>
          <w:szCs w:val="24"/>
        </w:rPr>
        <w:t xml:space="preserve">Financial Support and Sponsorship</w:t>
      </w:r>
    </w:p>
    <w:p>
      <w:pPr>
        <w:spacing w:after="0" w:before="0" w:line="480" w:lineRule="auto"/>
        <w:jc w:val="both"/>
      </w:pPr>
      <w:r>
        <w:rPr>
          <w:rFonts w:ascii="Times New Roman" w:cs="Times New Roman" w:eastAsia="Times New Roman" w:hAnsi="Times New Roman"/>
          <w:sz w:val="24"/>
          <w:szCs w:val="24"/>
        </w:rPr>
        <w:t xml:space="preserve">Nil.</w:t>
      </w:r>
    </w:p>
    <w:p>
      <w:pPr>
        <w:spacing w:after="60" w:before="240" w:line="480" w:lineRule="auto"/>
      </w:pPr>
      <w:r>
        <w:rPr>
          <w:rFonts w:ascii="Times New Roman" w:cs="Times New Roman" w:eastAsia="Times New Roman" w:hAnsi="Times New Roman"/>
          <w:b/>
          <w:bCs/>
          <w:sz w:val="24"/>
          <w:szCs w:val="24"/>
        </w:rPr>
        <w:t xml:space="preserve">Conflicts of Interest</w:t>
      </w:r>
    </w:p>
    <w:p>
      <w:pPr>
        <w:spacing w:after="0" w:before="0" w:line="480" w:lineRule="auto"/>
        <w:jc w:val="both"/>
      </w:pPr>
      <w:r>
        <w:rPr>
          <w:rFonts w:ascii="Times New Roman" w:cs="Times New Roman" w:eastAsia="Times New Roman" w:hAnsi="Times New Roman"/>
          <w:sz w:val="24"/>
          <w:szCs w:val="24"/>
        </w:rPr>
        <w:t xml:space="preserve">There are no conflicts of interest.</w:t>
      </w:r>
    </w:p>
    <w:p>
      <w:pPr>
        <w:sectPr>
          <w:footerReference w:type="default" r:id="rId8"/>
          <w:type w:val="nextPage"/>
          <w:pgSz w:w="11906" w:h="16838" w:orient="portrait"/>
          <w:pgMar w:top="1417" w:right="1417" w:bottom="1417" w:left="1417" w:header="708" w:footer="708" w:gutter="0"/>
          <w:pgNumType/>
          <w:docGrid w:linePitch="360"/>
        </w:sectPr>
      </w:pPr>
    </w:p>
    <w:p>
      <w:pPr>
        <w:spacing w:after="60" w:before="240" w:line="480" w:lineRule="auto"/>
      </w:pPr>
      <w:r>
        <w:rPr>
          <w:rFonts w:ascii="Times New Roman" w:cs="Times New Roman" w:eastAsia="Times New Roman" w:hAnsi="Times New Roman"/>
          <w:b/>
          <w:bCs/>
          <w:sz w:val="26"/>
          <w:szCs w:val="26"/>
        </w:rPr>
        <w:t xml:space="preserve">References</w:t>
      </w:r>
    </w:p>
    <w:p>
      <w:pPr>
        <w:spacing w:after="0" w:line="480" w:lineRule="auto"/>
        <w:ind w:left="360" w:hanging="360"/>
      </w:pPr>
      <w:r>
        <w:rPr>
          <w:rFonts w:ascii="Times New Roman" w:cs="Times New Roman" w:eastAsia="Times New Roman" w:hAnsi="Times New Roman"/>
          <w:sz w:val="22"/>
          <w:szCs w:val="22"/>
        </w:rPr>
        <w:t xml:space="preserve">1.	Santodomingo-Rubido J, Carracedo G, Suzaki A, Villa-Collar C, Vincent SJ, Wolffsohn JS. Keratoconus: an updated review. Cont Lens Anterior Eye. 2022;45(3):101559.</w:t>
      </w:r>
    </w:p>
    <w:p>
      <w:pPr>
        <w:spacing w:after="0" w:line="480" w:lineRule="auto"/>
        <w:ind w:left="360" w:hanging="360"/>
      </w:pPr>
      <w:r>
        <w:rPr>
          <w:rFonts w:ascii="Times New Roman" w:cs="Times New Roman" w:eastAsia="Times New Roman" w:hAnsi="Times New Roman"/>
          <w:sz w:val="22"/>
          <w:szCs w:val="22"/>
        </w:rPr>
        <w:t xml:space="preserve">2.	Hashemi H, Heydarian S, Hooshmand E, Saatchi M, Yekta A, Aghamirsalim M, et al. The prevalence and risk factors for keratoconus: a systematic review and meta-analysis. Cornea. 2020;39(2):263-70.</w:t>
      </w:r>
    </w:p>
    <w:p>
      <w:pPr>
        <w:spacing w:after="0" w:line="480" w:lineRule="auto"/>
        <w:ind w:left="360" w:hanging="360"/>
      </w:pPr>
      <w:r>
        <w:rPr>
          <w:rFonts w:ascii="Times New Roman" w:cs="Times New Roman" w:eastAsia="Times New Roman" w:hAnsi="Times New Roman"/>
          <w:sz w:val="22"/>
          <w:szCs w:val="22"/>
        </w:rPr>
        <w:t xml:space="preserve">3.	Mohamed ZD. Keratoconus in Eastern Mediterranean Region: prevalence and risk factors. Afr Vision Eye Health. 2025;84(1):a1044.</w:t>
      </w:r>
    </w:p>
    <w:p>
      <w:pPr>
        <w:spacing w:after="0" w:line="480" w:lineRule="auto"/>
        <w:ind w:left="360" w:hanging="360"/>
      </w:pPr>
      <w:r>
        <w:rPr>
          <w:rFonts w:ascii="Times New Roman" w:cs="Times New Roman" w:eastAsia="Times New Roman" w:hAnsi="Times New Roman"/>
          <w:sz w:val="22"/>
          <w:szCs w:val="22"/>
        </w:rPr>
        <w:t xml:space="preserve">4.	Gomes JAP, Rodrigues PF, Lamazales LL. Keratoconus epidemiology: a review. Saudi J Ophthalmol. 2022;36(1):3-6.</w:t>
      </w:r>
    </w:p>
    <w:p>
      <w:pPr>
        <w:spacing w:after="0" w:line="480" w:lineRule="auto"/>
        <w:ind w:left="360" w:hanging="360"/>
      </w:pPr>
      <w:r>
        <w:rPr>
          <w:rFonts w:ascii="Times New Roman" w:cs="Times New Roman" w:eastAsia="Times New Roman" w:hAnsi="Times New Roman"/>
          <w:sz w:val="22"/>
          <w:szCs w:val="22"/>
        </w:rPr>
        <w:t xml:space="preserve">5.	Torres Netto EA, Al-Otaibi WM, Hafezi NL, Kling S, Al-Farhan HM, Randleman JB, et al. Prevalence of keratoconus in paediatric patients in Riyadh, Saudi Arabia. Br J Ophthalmol. 2018;102(10):1436-41.</w:t>
      </w:r>
    </w:p>
    <w:p>
      <w:pPr>
        <w:spacing w:after="0" w:line="480" w:lineRule="auto"/>
        <w:ind w:left="360" w:hanging="360"/>
      </w:pPr>
      <w:r>
        <w:rPr>
          <w:rFonts w:ascii="Times New Roman" w:cs="Times New Roman" w:eastAsia="Times New Roman" w:hAnsi="Times New Roman"/>
          <w:sz w:val="22"/>
          <w:szCs w:val="22"/>
        </w:rPr>
        <w:t xml:space="preserve">6.	Althomali TA, Al-Qurashi IM, Al-Thagafi SM, Mohammed A, Almalki M. Prevalence of keratoconus among patients seeking laser vision correction in Taif area of Saudi Arabia. Saudi J Ophthalmol. 2018;32(2):114-8.</w:t>
      </w:r>
    </w:p>
    <w:p>
      <w:pPr>
        <w:spacing w:after="0" w:line="480" w:lineRule="auto"/>
        <w:ind w:left="360" w:hanging="360"/>
      </w:pPr>
      <w:r>
        <w:rPr>
          <w:rFonts w:ascii="Times New Roman" w:cs="Times New Roman" w:eastAsia="Times New Roman" w:hAnsi="Times New Roman"/>
          <w:sz w:val="22"/>
          <w:szCs w:val="22"/>
        </w:rPr>
        <w:t xml:space="preserve">7.	Al-Amri AM. Prevalence of keratoconus in a refractive surgery population. J Ophthalmol. 2018;2018:1-5.</w:t>
      </w:r>
    </w:p>
    <w:p>
      <w:pPr>
        <w:spacing w:after="0" w:line="480" w:lineRule="auto"/>
        <w:ind w:left="360" w:hanging="360"/>
      </w:pPr>
      <w:r>
        <w:rPr>
          <w:rFonts w:ascii="Times New Roman" w:cs="Times New Roman" w:eastAsia="Times New Roman" w:hAnsi="Times New Roman"/>
          <w:sz w:val="22"/>
          <w:szCs w:val="22"/>
        </w:rPr>
        <w:t xml:space="preserve">8.	Zhao F, Du F, Zhang J, Xu J. Trends in research related to keratoconus from 2009 to 2018: a bibliometric and knowledge mapping analysis. Cornea. 2019;38(7):847-54.</w:t>
      </w:r>
    </w:p>
    <w:p>
      <w:pPr>
        <w:spacing w:after="0" w:line="480" w:lineRule="auto"/>
        <w:ind w:left="360" w:hanging="360"/>
      </w:pPr>
      <w:r>
        <w:rPr>
          <w:rFonts w:ascii="Times New Roman" w:cs="Times New Roman" w:eastAsia="Times New Roman" w:hAnsi="Times New Roman"/>
          <w:sz w:val="22"/>
          <w:szCs w:val="22"/>
        </w:rPr>
        <w:t xml:space="preserve">9.	Hardcastle AJ, Liskova P, Bykhovskaya Y, Aldave AJ, Tuft SJ. A multiethnic genome-wide association study implicates collagen matrix integrity and cell differentiation pathways in keratoconus. Commun Biol. 2021;4(1):266.</w:t>
      </w:r>
    </w:p>
    <w:p>
      <w:pPr>
        <w:spacing w:after="0" w:line="480" w:lineRule="auto"/>
        <w:ind w:left="360" w:hanging="360"/>
      </w:pPr>
      <w:r>
        <w:rPr>
          <w:rFonts w:ascii="Times New Roman" w:cs="Times New Roman" w:eastAsia="Times New Roman" w:hAnsi="Times New Roman"/>
          <w:sz w:val="22"/>
          <w:szCs w:val="22"/>
        </w:rPr>
        <w:t xml:space="preserve">10.	Yu AC, Zauli E, Missiroli L, Busin M. Bibliometric analysis of ophthalmology publications from Arab countries between 2012 and 2022. Middle East Afr J Ophthalmol. 2023;30(1):1-5.</w:t>
      </w:r>
    </w:p>
    <w:p>
      <w:pPr>
        <w:spacing w:after="0" w:line="480" w:lineRule="auto"/>
        <w:ind w:left="360" w:hanging="360"/>
      </w:pPr>
      <w:r>
        <w:rPr>
          <w:rFonts w:ascii="Times New Roman" w:cs="Times New Roman" w:eastAsia="Times New Roman" w:hAnsi="Times New Roman"/>
          <w:sz w:val="22"/>
          <w:szCs w:val="22"/>
        </w:rPr>
        <w:t xml:space="preserve">11.	Shabani H, De Ridder J, Asaad MA, Hashemi H, Khabazkhoob M. Climate determinants of keratoconus: insights from a systematic review of prevalence. Invest Ophthalmol Vis Sci. 2025;66(2):30.</w:t>
      </w:r>
    </w:p>
    <w:p>
      <w:pPr>
        <w:spacing w:after="0" w:line="480" w:lineRule="auto"/>
        <w:ind w:left="360" w:hanging="360"/>
      </w:pPr>
      <w:r>
        <w:rPr>
          <w:rFonts w:ascii="Times New Roman" w:cs="Times New Roman" w:eastAsia="Times New Roman" w:hAnsi="Times New Roman"/>
          <w:sz w:val="22"/>
          <w:szCs w:val="22"/>
        </w:rPr>
        <w:t xml:space="preserve">12.	Kondkar AA, Azad TA, Sultan T, Khatlani T, Alshehri AA, Lobo GP, et al. Association between polymorphism rs61876744 in PNPLA2 gene and keratoconus in a Saudi cohort. Genes. 2023;14(12):2108.</w:t>
      </w:r>
    </w:p>
    <w:p>
      <w:pPr>
        <w:spacing w:after="0" w:line="480" w:lineRule="auto"/>
        <w:ind w:left="360" w:hanging="360"/>
      </w:pPr>
      <w:r>
        <w:rPr>
          <w:rFonts w:ascii="Times New Roman" w:cs="Times New Roman" w:eastAsia="Times New Roman" w:hAnsi="Times New Roman"/>
          <w:sz w:val="22"/>
          <w:szCs w:val="22"/>
        </w:rPr>
        <w:t xml:space="preserve">13.	Yang K, Xu L, Wang S, Fang W, Lu T, Wang J, et al. A bibliometric analysis of 100 most-cited articles on corneal cross-linking. Front Med (Lausanne). 2022;9:904077.</w:t>
      </w:r>
    </w:p>
    <w:p>
      <w:pPr>
        <w:spacing w:after="0" w:line="480" w:lineRule="auto"/>
        <w:ind w:left="360" w:hanging="360"/>
      </w:pPr>
      <w:r>
        <w:rPr>
          <w:rFonts w:ascii="Times New Roman" w:cs="Times New Roman" w:eastAsia="Times New Roman" w:hAnsi="Times New Roman"/>
          <w:sz w:val="22"/>
          <w:szCs w:val="22"/>
        </w:rPr>
        <w:t xml:space="preserve">14.	Efron N, Morgan PB, Jones LW, Nichols JJ. Bibliometric analysis of the keratoconus literature. Clin Exp Optom. 2022;105(4):372-7.</w:t>
      </w:r>
    </w:p>
    <w:p>
      <w:pPr>
        <w:spacing w:after="0" w:line="480" w:lineRule="auto"/>
        <w:ind w:left="360" w:hanging="360"/>
      </w:pPr>
      <w:r>
        <w:rPr>
          <w:rFonts w:ascii="Times New Roman" w:cs="Times New Roman" w:eastAsia="Times New Roman" w:hAnsi="Times New Roman"/>
          <w:sz w:val="22"/>
          <w:szCs w:val="22"/>
        </w:rPr>
        <w:t xml:space="preserve">15.	Daud MM, Wan Zaki WMD, Ramlan LA, Ali FM, Chaw JK. Noncommunicable eye diseases trend related to artificial intelligence: a bibliometric and visualization analysis. Int J Adv Comput Sci Appl. 2026;17(3):1010-21.</w:t>
      </w:r>
    </w:p>
    <w:p>
      <w:pPr>
        <w:spacing w:after="0" w:line="480" w:lineRule="auto"/>
        <w:ind w:left="360" w:hanging="360"/>
      </w:pPr>
      <w:r>
        <w:rPr>
          <w:rFonts w:ascii="Times New Roman" w:cs="Times New Roman" w:eastAsia="Times New Roman" w:hAnsi="Times New Roman"/>
          <w:sz w:val="22"/>
          <w:szCs w:val="22"/>
        </w:rPr>
        <w:t xml:space="preserve">16.	Wang S, Yang K, Wang Y, Xu L, Gu Y, Fan Q, et al. Trends in research on corneal cross linking from 2001 to 2020: a bibliometric analysis. Clin Exp Optom. 2023;106(4):395-401.</w:t>
      </w:r>
    </w:p>
    <w:p>
      <w:pPr>
        <w:spacing w:after="0" w:line="480" w:lineRule="auto"/>
        <w:ind w:left="360" w:hanging="360"/>
      </w:pPr>
      <w:r>
        <w:rPr>
          <w:rFonts w:ascii="Times New Roman" w:cs="Times New Roman" w:eastAsia="Times New Roman" w:hAnsi="Times New Roman"/>
          <w:sz w:val="22"/>
          <w:szCs w:val="22"/>
        </w:rPr>
        <w:t xml:space="preserve">17.	Song Y, Huang C, Yu X, Li Y, Liu Z. Research hot spots and trends of keratoconus in China: a bibliometric analysis. Zhonghua Yan Ke Za Zhi. 2024;60(2):156-67.</w:t>
      </w:r>
    </w:p>
    <w:p>
      <w:pPr>
        <w:spacing w:after="0" w:line="480" w:lineRule="auto"/>
        <w:ind w:left="360" w:hanging="360"/>
      </w:pPr>
      <w:r>
        <w:rPr>
          <w:rFonts w:ascii="Times New Roman" w:cs="Times New Roman" w:eastAsia="Times New Roman" w:hAnsi="Times New Roman"/>
          <w:sz w:val="22"/>
          <w:szCs w:val="22"/>
        </w:rPr>
        <w:t xml:space="preserve">18.	Mukhtar S, Ambati BK. Pediatric keratoconus: a review of the literature. Int Ophthalmol. 2018;38(5):2257-66.</w:t>
      </w:r>
    </w:p>
    <w:p>
      <w:pPr>
        <w:spacing w:after="0" w:line="480" w:lineRule="auto"/>
        <w:ind w:left="360" w:hanging="360"/>
      </w:pPr>
      <w:r>
        <w:rPr>
          <w:rFonts w:ascii="Times New Roman" w:cs="Times New Roman" w:eastAsia="Times New Roman" w:hAnsi="Times New Roman"/>
          <w:sz w:val="22"/>
          <w:szCs w:val="22"/>
        </w:rPr>
        <w:t xml:space="preserve">19.	Wang H, Ye Q, Xu W, Wang J, Liu J, Xu X, et al. Research trends of worldwide ophthalmologic randomized controlled trials in the 21st century: a bibliometric study. Adv Ophthalmol Pract Res. 2023;3(4):159-70.</w:t>
      </w:r>
    </w:p>
    <w:p>
      <w:pPr>
        <w:spacing w:after="0" w:line="480" w:lineRule="auto"/>
        <w:ind w:left="360" w:hanging="360"/>
      </w:pPr>
      <w:r>
        <w:rPr>
          <w:rFonts w:ascii="Times New Roman" w:cs="Times New Roman" w:eastAsia="Times New Roman" w:hAnsi="Times New Roman"/>
          <w:sz w:val="22"/>
          <w:szCs w:val="22"/>
        </w:rPr>
        <w:t xml:space="preserve">20.	Ning J, Zhang L. Bibliometric and visual analysis of surface ablation laser surgery. Front Med (Lausanne). 2023;10:1225859.</w:t>
      </w:r>
    </w:p>
    <w:p>
      <w:pPr>
        <w:spacing w:after="0" w:line="480" w:lineRule="auto"/>
        <w:ind w:left="360" w:hanging="360"/>
      </w:pPr>
      <w:r>
        <w:rPr>
          <w:rFonts w:ascii="Times New Roman" w:cs="Times New Roman" w:eastAsia="Times New Roman" w:hAnsi="Times New Roman"/>
          <w:sz w:val="22"/>
          <w:szCs w:val="22"/>
        </w:rPr>
        <w:t xml:space="preserve">21.	Mousa RM, Saif MYS, Said MAE, Taher RMM. Prevalence of keratoconus and characteristics of refractive errors in first-degree relatives of patients with keratoconus among Egyptians. Cornea. 2025;44(1):86-92.</w:t>
      </w:r>
    </w:p>
    <w:p>
      <w:pPr>
        <w:spacing w:after="0" w:line="480" w:lineRule="auto"/>
        <w:ind w:left="360" w:hanging="360"/>
      </w:pPr>
      <w:r>
        <w:rPr>
          <w:rFonts w:ascii="Times New Roman" w:cs="Times New Roman" w:eastAsia="Times New Roman" w:hAnsi="Times New Roman"/>
          <w:sz w:val="22"/>
          <w:szCs w:val="22"/>
        </w:rPr>
        <w:t xml:space="preserve">22.	Abd-Elaziz K, Eissa S, Salah Y, Azzam S. Prevalence of keratoconus on screening of Egyptian LASIK candidates: a retrospective multicenter study. Middle East Afr J Ophthalmol. 2022;29(2):67-71.</w:t>
      </w:r>
    </w:p>
    <w:p>
      <w:pPr>
        <w:spacing w:after="0" w:line="480" w:lineRule="auto"/>
        <w:ind w:left="360" w:hanging="360"/>
      </w:pPr>
      <w:r>
        <w:rPr>
          <w:rFonts w:ascii="Times New Roman" w:cs="Times New Roman" w:eastAsia="Times New Roman" w:hAnsi="Times New Roman"/>
          <w:sz w:val="22"/>
          <w:szCs w:val="22"/>
        </w:rPr>
        <w:t xml:space="preserve">23.	AlEissa MM, Abedalthagafi M, Edward DP. Prevention and early intervention screening for inherited ocular diseases in Saudi Arabia: a national perspective. Front Ophthalmol (Lausanne). 2026;5:1660483.</w:t>
      </w:r>
    </w:p>
    <w:p>
      <w:pPr>
        <w:spacing w:after="0" w:line="480" w:lineRule="auto"/>
        <w:ind w:left="360" w:hanging="360"/>
      </w:pPr>
      <w:r>
        <w:rPr>
          <w:rFonts w:ascii="Times New Roman" w:cs="Times New Roman" w:eastAsia="Times New Roman" w:hAnsi="Times New Roman"/>
          <w:sz w:val="22"/>
          <w:szCs w:val="22"/>
        </w:rPr>
        <w:t xml:space="preserve">24.	Sweileh WM, Al-Jabi SW, Shanti YI, Sawalha AF, Zyoud SH. Contribution of Arab researchers to ophthalmology: a bibliometric and comparative analysis. SpringerPlus. 2015;4(1):42.</w:t>
      </w:r>
    </w:p>
    <w:p>
      <w:pPr>
        <w:sectPr>
          <w:footerReference w:type="default" r:id="rId9"/>
          <w:type w:val="nextPage"/>
          <w:pgSz w:w="11906" w:h="16838" w:orient="portrait"/>
          <w:pgMar w:top="1417" w:right="1417" w:bottom="1417" w:left="1417" w:header="708" w:footer="708" w:gutter="0"/>
          <w:pgNumType/>
          <w:docGrid w:linePitch="360"/>
        </w:sectPr>
      </w:pPr>
    </w:p>
    <w:p>
      <w:pPr>
        <w:spacing w:after="60" w:before="240" w:line="480" w:lineRule="auto"/>
      </w:pPr>
      <w:r>
        <w:rPr>
          <w:rFonts w:ascii="Times New Roman" w:cs="Times New Roman" w:eastAsia="Times New Roman" w:hAnsi="Times New Roman"/>
          <w:b/>
          <w:bCs/>
          <w:sz w:val="26"/>
          <w:szCs w:val="26"/>
        </w:rPr>
        <w:t xml:space="preserve">Tables</w:t>
      </w:r>
    </w:p>
    <w:p>
      <w:pPr>
        <w:spacing w:before="120" w:line="480" w:lineRule="auto"/>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Summary bibliometric indicators for Saudi Arabian keratoconus research (2000–2025).</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6000"/>
        <w:gridCol w:w="3180"/>
      </w:tblGrid>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Bibliometric indicator</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Value</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Total publications (broad dataset)</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367</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Keratoconus-specific publications</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118</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Study period</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2000–2025</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Unique journals (normalized)</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183</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Unique authors</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1,542</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Mean citations per paper (keratoconus-specific)</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15.1</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Median citations per paper (keratoconus-specific)</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H-index (keratoconus-specific)</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Papers with ≥20 citations</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 (16.9%)</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Papers with ≥10 citations</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31 (26.3%)</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Peak publication year</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2022 (n = 50)</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CAGR, full period (2000–2024)</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16.1% per year</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CAGR, acceleration phase (2016–2022)</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30.8% per year</w:t>
            </w:r>
          </w:p>
        </w:tc>
      </w:tr>
      <w:tr>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Internationally collaborative papers</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118 (32.2%)</w:t>
            </w:r>
          </w:p>
        </w:tc>
      </w:tr>
    </w:tbl>
    <w:p>
      <w:pPr>
        <w:spacing w:after="0" w:before="60" w:line="240"/>
      </w:pPr>
      <w:r>
        <w:rPr>
          <w:rFonts w:ascii="Times New Roman" w:cs="Times New Roman" w:eastAsia="Times New Roman" w:hAnsi="Times New Roman"/>
          <w:i/>
          <w:iCs/>
          <w:sz w:val="18"/>
          <w:szCs w:val="18"/>
        </w:rPr>
        <w:t xml:space="preserve">CAGR = compound annual growth rate. Keratoconus-specific analyses used 118 records.</w:t>
      </w:r>
    </w:p>
    <w:p>
      <w:pPr>
        <w:spacing w:before="240" w:line="480" w:lineRule="auto"/>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Top nine most-cited keratoconus-specific publications from Saudi Arabia.</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720"/>
        <w:gridCol w:w="2060"/>
        <w:gridCol w:w="1400"/>
      </w:tblGrid>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Rank</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Title (truncated)</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Year</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Journal</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bCs/>
                <w:sz w:val="20"/>
                <w:szCs w:val="20"/>
              </w:rPr>
              <w:t xml:space="preserve">Citations</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Ultrastructural analysis of collagen fibrils in keratoconus</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2008</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Acta Ophthalmol</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109</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Corneal CXL for keratoconus in pediatric patients</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2017</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Cornea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83</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3</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ZNF469 mutations causing brittle cornea syndrome</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2013</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Mol Genet Metab</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74</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4</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Acute corneal hydrops in keratoconus</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2007</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Br J Ophthalmol</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70</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5</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Boston keratoprosthesis vs repeat keratoplasty</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2016</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Ophthalmology</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69</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Lamellar corneal transplantation: a review</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2012</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Surv Ophthalmol</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64</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7</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Pentacam vs ultrasound central corneal thickness</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2008</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Int Ophthalmol</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63</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8</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Keratoconus epidemiology: a review</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2022</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Saudi J Ophthalmol</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61</w:t>
            </w:r>
          </w:p>
        </w:tc>
      </w:tr>
      <w:t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9</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CXL for infectious keratitis</w:t>
            </w:r>
          </w:p>
        </w:tc>
        <w:tc>
          <w:tcPr>
            <w:tcW w:type="dxa" w:w="72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2011</w:t>
            </w: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Clin Ophthalmol</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center"/>
            </w:pPr>
            <w:r>
              <w:rPr>
                <w:rFonts w:ascii="Times New Roman" w:cs="Times New Roman" w:eastAsia="Times New Roman" w:hAnsi="Times New Roman"/>
                <w:b w:val="false"/>
                <w:bCs w:val="false"/>
                <w:sz w:val="20"/>
                <w:szCs w:val="20"/>
              </w:rPr>
              <w:t xml:space="preserve">60</w:t>
            </w:r>
          </w:p>
        </w:tc>
      </w:tr>
    </w:tbl>
    <w:p>
      <w:pPr>
        <w:spacing w:after="0" w:before="60" w:line="240"/>
      </w:pPr>
      <w:r>
        <w:rPr>
          <w:rFonts w:ascii="Times New Roman" w:cs="Times New Roman" w:eastAsia="Times New Roman" w:hAnsi="Times New Roman"/>
          <w:i/>
          <w:iCs/>
          <w:sz w:val="18"/>
          <w:szCs w:val="18"/>
        </w:rPr>
        <w:t xml:space="preserve">CXL = corneal crosslinking. Citations retrieved June 2025.</w:t>
      </w:r>
    </w:p>
    <w:p>
      <w:pPr>
        <w:spacing w:before="240" w:line="480" w:lineRule="auto"/>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Summary of principal findings and recommendations.</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4590"/>
        <w:gridCol w:w="4590"/>
      </w:tblGrid>
      <w:tr>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Key finding</w:t>
            </w:r>
          </w:p>
        </w:tc>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bCs/>
                <w:sz w:val="20"/>
                <w:szCs w:val="20"/>
              </w:rPr>
              <w:t xml:space="preserve">Recommendation</w:t>
            </w:r>
          </w:p>
        </w:tc>
      </w:tr>
      <w:tr>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Fivefold growth post-2016 (CAGR 30.8%/year)</w:t>
            </w:r>
          </w:p>
        </w:tc>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Sustain investment; protect clinician research time</w:t>
            </w:r>
          </w:p>
        </w:tc>
      </w:tr>
      <w:tr>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King Khaled Eye Specialist Hospital leads (38/118)</w:t>
            </w:r>
          </w:p>
        </w:tc>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Build regional research capacity outside Riyadh and Jeddah</w:t>
            </w:r>
          </w:p>
        </w:tc>
      </w:tr>
      <w:tr>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32.2% international collaboration; Turkey and Iran absent</w:t>
            </w:r>
          </w:p>
        </w:tc>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Formalize bilateral agreements with Turkey, Iran, and GCC</w:t>
            </w:r>
          </w:p>
        </w:tc>
      </w:tr>
      <w:tr>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CXL absent from top keywords; riboflavin isolated</w:t>
            </w:r>
          </w:p>
        </w:tc>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National CXL registry; standardize CXL terminology</w:t>
            </w:r>
          </w:p>
        </w:tc>
      </w:tr>
      <w:tr>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59% isolated author nodes; four disconnected clusters</w:t>
            </w:r>
          </w:p>
        </w:tc>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Establish Saudi Keratoconus Research Network</w:t>
            </w:r>
          </w:p>
        </w:tc>
      </w:tr>
      <w:tr>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No publications from Makkah, Tabuk, or northern regions</w:t>
            </w:r>
          </w:p>
        </w:tc>
        <w:tc>
          <w:tcPr>
            <w:tcW w:type="dxa" w:w="459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jc w:val="left"/>
            </w:pPr>
            <w:r>
              <w:rPr>
                <w:rFonts w:ascii="Times New Roman" w:cs="Times New Roman" w:eastAsia="Times New Roman" w:hAnsi="Times New Roman"/>
                <w:b w:val="false"/>
                <w:bCs w:val="false"/>
                <w:sz w:val="20"/>
                <w:szCs w:val="20"/>
              </w:rPr>
              <w:t xml:space="preserve">Regional research grants; include all regions in registries</w:t>
            </w:r>
          </w:p>
        </w:tc>
      </w:tr>
    </w:tbl>
    <w:p>
      <w:pPr>
        <w:spacing w:after="0" w:before="60" w:line="240"/>
      </w:pPr>
      <w:r>
        <w:rPr>
          <w:rFonts w:ascii="Times New Roman" w:cs="Times New Roman" w:eastAsia="Times New Roman" w:hAnsi="Times New Roman"/>
          <w:i/>
          <w:iCs/>
          <w:sz w:val="18"/>
          <w:szCs w:val="18"/>
        </w:rPr>
        <w:t xml:space="preserve">CXL = corneal crosslinking; GCC = Gulf Cooperation Council.</w:t>
      </w:r>
    </w:p>
    <w:p>
      <w:pPr>
        <w:sectPr>
          <w:footerReference w:type="default" r:id="rId10"/>
          <w:type w:val="nextPage"/>
          <w:pgSz w:w="11906" w:h="16838" w:orient="portrait"/>
          <w:pgMar w:top="1417" w:right="1417" w:bottom="1417" w:left="1417" w:header="708" w:footer="708" w:gutter="0"/>
          <w:pgNumType/>
          <w:docGrid w:linePitch="360"/>
        </w:sectPr>
      </w:pPr>
    </w:p>
    <w:p>
      <w:pPr>
        <w:spacing w:after="60" w:before="240" w:line="480" w:lineRule="auto"/>
      </w:pPr>
      <w:r>
        <w:rPr>
          <w:rFonts w:ascii="Times New Roman" w:cs="Times New Roman" w:eastAsia="Times New Roman" w:hAnsi="Times New Roman"/>
          <w:b/>
          <w:bCs/>
          <w:sz w:val="26"/>
          <w:szCs w:val="26"/>
        </w:rPr>
        <w:t xml:space="preserve">Figure Legends</w:t>
      </w:r>
    </w:p>
    <w:p>
      <w:pPr>
        <w:spacing w:after="0" w:before="0" w:line="480" w:lineRule="auto"/>
        <w:jc w:val="both"/>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Annual publication trend of keratoconus research from Saudi Arabia (2000–2025), with LOESS-smoothed curve and three growth phases. The hatched bar indicates a partial year (2026).</w:t>
      </w:r>
    </w:p>
    <w:p>
      <w:pPr>
        <w:spacing w:after="0" w:before="0" w:line="480" w:lineRule="auto"/>
        <w:jc w:val="both"/>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International research collaboration map for keratoconus publications from Saudi Arabia. Color intensity represents the number of co-authored papers with Saudi institutions.</w:t>
      </w:r>
    </w:p>
    <w:p>
      <w:pPr>
        <w:spacing w:after="0" w:before="0" w:line="480" w:lineRule="auto"/>
        <w:jc w:val="both"/>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Top 15 institutions contributing to keratoconus research in Saudi Arabia, color-coded by location. The dashed line indicates the five-publication threshold.</w:t>
      </w:r>
    </w:p>
    <w:p>
      <w:pPr>
        <w:spacing w:after="0" w:before="0" w:line="480" w:lineRule="auto"/>
        <w:jc w:val="both"/>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Co-authorship network map of authors with two or more keratoconus publications, showing four distinct clusters and isolated nodes.</w:t>
      </w:r>
    </w:p>
    <w:p>
      <w:pPr>
        <w:spacing w:after="0" w:before="0" w:line="480" w:lineRule="auto"/>
        <w:jc w:val="both"/>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sz w:val="24"/>
          <w:szCs w:val="24"/>
        </w:rPr>
        <w:t xml:space="preserve">Keyword co-occurrence network showing five thematic clusters and isolated nodes (riboflavin, contact lenses, wound healing).</w:t>
      </w:r>
    </w:p>
    <w:p>
      <w:pPr>
        <w:spacing w:after="0" w:before="0" w:line="480" w:lineRule="auto"/>
        <w:jc w:val="both"/>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sz w:val="24"/>
          <w:szCs w:val="24"/>
        </w:rPr>
        <w:t xml:space="preserve">Evolution of research themes across two periods (2000–2012 and 2013–2024) by keyword frequency. Bold terms persisted across both periods.</w:t>
      </w:r>
    </w:p>
    <w:sectPr>
      <w:footerReference w:type="default" r:id="rId11"/>
      <w:type w:val="nextPage"/>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2026-06-04T05:32:37.782Z</dcterms:created>
  <dcterms:modified xsi:type="dcterms:W3CDTF">2026-06-04T05:32:37.782Z</dcterms:modified>
</cp:coreProperties>
</file>

<file path=docProps/custom.xml><?xml version="1.0" encoding="utf-8"?>
<Properties xmlns="http://schemas.openxmlformats.org/officeDocument/2006/custom-properties" xmlns:vt="http://schemas.openxmlformats.org/officeDocument/2006/docPropsVTypes"/>
</file>