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2"/>
          <w:szCs w:val="32"/>
        </w:rPr>
        <w:t xml:space="preserve">Two Decades of Keratoconus Research in Saudi Arabia:</w:t>
      </w:r>
    </w:p>
    <w:p>
      <w:pPr>
        <w:spacing w:after="400" w:before="0"/>
        <w:jc w:val="center"/>
      </w:pPr>
      <w:r>
        <w:rPr>
          <w:rFonts w:ascii="Arial" w:cs="Arial" w:eastAsia="Arial" w:hAnsi="Arial"/>
          <w:b/>
          <w:bCs/>
          <w:color w:val="1F3864"/>
          <w:sz w:val="32"/>
          <w:szCs w:val="32"/>
        </w:rPr>
        <w:t xml:space="preserve">A Bibliometric Analysis (2000–2025)</w:t>
      </w:r>
    </w:p>
    <w:p>
      <w:pPr>
        <w:pStyle w:val="Heading1"/>
        <w:spacing w:after="160" w:before="320"/>
      </w:pPr>
      <w:r>
        <w:rPr>
          <w:rFonts w:ascii="Arial" w:cs="Arial" w:eastAsia="Arial" w:hAnsi="Arial"/>
          <w:b/>
          <w:bCs/>
          <w:color w:val="1F3864"/>
          <w:sz w:val="28"/>
          <w:szCs w:val="28"/>
        </w:rPr>
        <w:t xml:space="preserve">2. Methods</w:t>
      </w:r>
    </w:p>
    <w:p>
      <w:pPr>
        <w:spacing w:after="160" w:before="100"/>
        <w:jc w:val="both"/>
      </w:pPr>
      <w:r>
        <w:rPr>
          <w:rFonts w:ascii="Arial" w:cs="Arial" w:eastAsia="Arial" w:hAnsi="Arial"/>
          <w:sz w:val="22"/>
          <w:szCs w:val="22"/>
        </w:rPr>
        <w:t xml:space="preserve">This bibliometric study was conducted in accordance with the Preferred Reporting Items for Systematic Reviews and Meta-Analyses extension for Scoping Reviews (PRISMA-ScR) guidelines. No ethical approval was required as the study relied exclusively on publicly available, de-identified bibliographic data.</w:t>
      </w:r>
    </w:p>
    <w:p>
      <w:pPr>
        <w:pStyle w:val="Heading2"/>
        <w:spacing w:after="120" w:before="240"/>
      </w:pPr>
      <w:r>
        <w:rPr>
          <w:rFonts w:ascii="Arial" w:cs="Arial" w:eastAsia="Arial" w:hAnsi="Arial"/>
          <w:b/>
          <w:bCs/>
          <w:color w:val="2E5090"/>
          <w:sz w:val="24"/>
          <w:szCs w:val="24"/>
        </w:rPr>
        <w:t xml:space="preserve">2.1 Search Strategy and Data Sources</w:t>
      </w:r>
    </w:p>
    <w:p>
      <w:pPr>
        <w:spacing w:after="160" w:before="100"/>
        <w:jc w:val="both"/>
      </w:pPr>
      <w:r>
        <w:rPr>
          <w:rFonts w:ascii="Arial" w:cs="Arial" w:eastAsia="Arial" w:hAnsi="Arial"/>
          <w:sz w:val="22"/>
          <w:szCs w:val="22"/>
        </w:rPr>
        <w:t xml:space="preserve">A comprehensive literature search was performed on 1 June 2025 using two major bibliographic databases: PubMed (National Library of Medicine) and Scopus (Elsevier). The following search string was applied across title, abstract, and keyword fields:</w:t>
      </w:r>
    </w:p>
    <w:p>
      <w:pPr>
        <w:pBdr>
          <w:left w:val="single" w:color="2E75B6" w:sz="12" w:space="10"/>
        </w:pBdr>
        <w:spacing w:after="120" w:before="120"/>
        <w:ind w:left="500" w:right="500"/>
        <w:jc w:val="left"/>
      </w:pPr>
      <w:r>
        <w:rPr>
          <w:rFonts w:ascii="Courier New" w:cs="Courier New" w:eastAsia="Courier New" w:hAnsi="Courier New"/>
          <w:i/>
          <w:iCs/>
          <w:color w:val="1F3864"/>
          <w:sz w:val="20"/>
          <w:szCs w:val="20"/>
        </w:rPr>
        <w:t xml:space="preserve">("keratoconus" OR "corneal ectasia" OR "corneal topography") AND ("Saudi Arabia" OR "KSA")</w:t>
      </w:r>
    </w:p>
    <w:p>
      <w:pPr>
        <w:spacing w:after="160" w:before="100"/>
        <w:jc w:val="both"/>
      </w:pPr>
      <w:r>
        <w:rPr>
          <w:rFonts w:ascii="Arial" w:cs="Arial" w:eastAsia="Arial" w:hAnsi="Arial"/>
          <w:sz w:val="22"/>
          <w:szCs w:val="22"/>
        </w:rPr>
        <w:t xml:space="preserve">The search was restricted to publications from 1 January 2000 to 31 December 2025 to capture the contemporary era of keratoconus research in the Kingdom. No language restrictions were applied. Both databases were searched independently, and results were exported in their respective formats: CSV from PubMed and RIS from Scopus. All retrieved records were imported into a unified data management environment for subsequent processing.</w:t>
      </w:r>
    </w:p>
    <w:p>
      <w:pPr>
        <w:pStyle w:val="Heading2"/>
        <w:spacing w:after="120" w:before="240"/>
      </w:pPr>
      <w:r>
        <w:rPr>
          <w:rFonts w:ascii="Arial" w:cs="Arial" w:eastAsia="Arial" w:hAnsi="Arial"/>
          <w:b/>
          <w:bCs/>
          <w:color w:val="2E5090"/>
          <w:sz w:val="24"/>
          <w:szCs w:val="24"/>
        </w:rPr>
        <w:t xml:space="preserve">2.2 Inclusion and Exclusion Criteria</w:t>
      </w:r>
    </w:p>
    <w:p>
      <w:pPr>
        <w:spacing w:after="160" w:before="100"/>
        <w:jc w:val="both"/>
      </w:pPr>
      <w:r>
        <w:rPr>
          <w:rFonts w:ascii="Arial" w:cs="Arial" w:eastAsia="Arial" w:hAnsi="Arial"/>
          <w:sz w:val="22"/>
          <w:szCs w:val="22"/>
        </w:rPr>
        <w:t xml:space="preserve">Records were included if they met all of the following criteria:</w:t>
      </w:r>
    </w:p>
    <w:p>
      <w:pPr>
        <w:pStyle w:val="ListParagraph"/>
        <w:numPr>
          <w:ilvl w:val="0"/>
          <w:numId w:val="2"/>
        </w:numPr>
        <w:spacing w:after="60" w:before="60"/>
      </w:pPr>
      <w:r>
        <w:rPr>
          <w:rFonts w:ascii="Arial" w:cs="Arial" w:eastAsia="Arial" w:hAnsi="Arial"/>
          <w:sz w:val="22"/>
          <w:szCs w:val="22"/>
        </w:rPr>
        <w:t xml:space="preserve">At least one author affiliation identified as a Saudi Arabian institution;</w:t>
      </w:r>
    </w:p>
    <w:p>
      <w:pPr>
        <w:pStyle w:val="ListParagraph"/>
        <w:numPr>
          <w:ilvl w:val="0"/>
          <w:numId w:val="2"/>
        </w:numPr>
        <w:spacing w:after="60" w:before="60"/>
      </w:pPr>
      <w:r>
        <w:rPr>
          <w:rFonts w:ascii="Arial" w:cs="Arial" w:eastAsia="Arial" w:hAnsi="Arial"/>
          <w:sz w:val="22"/>
          <w:szCs w:val="22"/>
        </w:rPr>
        <w:t xml:space="preserve">The title, abstract, or keywords contained terms related to keratoconus, corneal ectasia, corneal crosslinking, corneal topography, or keratoplasty;</w:t>
      </w:r>
    </w:p>
    <w:p>
      <w:pPr>
        <w:pStyle w:val="ListParagraph"/>
        <w:numPr>
          <w:ilvl w:val="0"/>
          <w:numId w:val="2"/>
        </w:numPr>
        <w:spacing w:after="160" w:before="60"/>
      </w:pPr>
      <w:r>
        <w:rPr>
          <w:rFonts w:ascii="Arial" w:cs="Arial" w:eastAsia="Arial" w:hAnsi="Arial"/>
          <w:sz w:val="22"/>
          <w:szCs w:val="22"/>
        </w:rPr>
        <w:t xml:space="preserve">The record was a peer-reviewed article, review, or conference paper indexed in PubMed or Scopus.</w:t>
      </w:r>
    </w:p>
    <w:p>
      <w:pPr>
        <w:spacing w:after="160" w:before="100"/>
        <w:jc w:val="both"/>
      </w:pPr>
      <w:r>
        <w:rPr>
          <w:rFonts w:ascii="Arial" w:cs="Arial" w:eastAsia="Arial" w:hAnsi="Arial"/>
          <w:sz w:val="22"/>
          <w:szCs w:val="22"/>
        </w:rPr>
        <w:t xml:space="preserve">Records were excluded if:</w:t>
      </w:r>
    </w:p>
    <w:p>
      <w:pPr>
        <w:pStyle w:val="ListParagraph"/>
        <w:numPr>
          <w:ilvl w:val="0"/>
          <w:numId w:val="2"/>
        </w:numPr>
        <w:spacing w:after="60" w:before="60"/>
      </w:pPr>
      <w:r>
        <w:rPr>
          <w:rFonts w:ascii="Arial" w:cs="Arial" w:eastAsia="Arial" w:hAnsi="Arial"/>
          <w:sz w:val="22"/>
          <w:szCs w:val="22"/>
        </w:rPr>
        <w:t xml:space="preserve">The sole Saudi affiliation was incidental (e.g., a Saudi-based author publishing on an entirely unrelated biomedical field such as materials science or plant biology);</w:t>
      </w:r>
    </w:p>
    <w:p>
      <w:pPr>
        <w:pStyle w:val="ListParagraph"/>
        <w:numPr>
          <w:ilvl w:val="0"/>
          <w:numId w:val="2"/>
        </w:numPr>
        <w:spacing w:after="60" w:before="60"/>
      </w:pPr>
      <w:r>
        <w:rPr>
          <w:rFonts w:ascii="Arial" w:cs="Arial" w:eastAsia="Arial" w:hAnsi="Arial"/>
          <w:sz w:val="22"/>
          <w:szCs w:val="22"/>
        </w:rPr>
        <w:t xml:space="preserve">The record was a letter, erratum, editorial, or retracted publication;</w:t>
      </w:r>
    </w:p>
    <w:p>
      <w:pPr>
        <w:pStyle w:val="ListParagraph"/>
        <w:numPr>
          <w:ilvl w:val="0"/>
          <w:numId w:val="2"/>
        </w:numPr>
        <w:spacing w:after="160" w:before="60"/>
      </w:pPr>
      <w:r>
        <w:rPr>
          <w:rFonts w:ascii="Arial" w:cs="Arial" w:eastAsia="Arial" w:hAnsi="Arial"/>
          <w:sz w:val="22"/>
          <w:szCs w:val="22"/>
        </w:rPr>
        <w:t xml:space="preserve">Full bibliographic metadata (title, year, source) was unavailable.</w:t>
      </w:r>
    </w:p>
    <w:p>
      <w:pPr>
        <w:pStyle w:val="Heading2"/>
        <w:spacing w:after="120" w:before="240"/>
      </w:pPr>
      <w:r>
        <w:rPr>
          <w:rFonts w:ascii="Arial" w:cs="Arial" w:eastAsia="Arial" w:hAnsi="Arial"/>
          <w:b/>
          <w:bCs/>
          <w:color w:val="2E5090"/>
          <w:sz w:val="24"/>
          <w:szCs w:val="24"/>
        </w:rPr>
        <w:t xml:space="preserve">2.3 Data Cleaning and Deduplication</w:t>
      </w:r>
    </w:p>
    <w:p>
      <w:pPr>
        <w:spacing w:after="160" w:before="100"/>
        <w:jc w:val="both"/>
      </w:pPr>
      <w:r>
        <w:rPr>
          <w:rFonts w:ascii="Arial" w:cs="Arial" w:eastAsia="Arial" w:hAnsi="Arial"/>
          <w:sz w:val="22"/>
          <w:szCs w:val="22"/>
        </w:rPr>
        <w:t xml:space="preserve">Records exported from PubMed (n = 242) and Scopus (n = 1,281) were merged into a single dataset (n = 1,523). Deduplication was performed in two sequential steps: first by Digital Object Identifier (DOI) matching, which removed 267 duplicate records; second by normalized title matching, which removed a further 13 records. The combined dataset was then filtered to retain only records with confirmed Saudi Arabian institutional affiliations, removing 876 non-Saudi records. A manual topic-relevance screen was subsequently applied to exclude papers where the Saudi affiliation was incidental and the study topic was unrelated to corneal disease. This yielded a final </w:t>
      </w:r>
      <w:r>
        <w:rPr>
          <w:rFonts w:ascii="Arial" w:cs="Arial" w:eastAsia="Arial" w:hAnsi="Arial"/>
          <w:b/>
          <w:bCs/>
          <w:sz w:val="22"/>
          <w:szCs w:val="22"/>
        </w:rPr>
        <w:t xml:space="preserve">KC-specific dataset of 323 records</w:t>
      </w:r>
      <w:r>
        <w:rPr>
          <w:rFonts w:ascii="Arial" w:cs="Arial" w:eastAsia="Arial" w:hAnsi="Arial"/>
          <w:sz w:val="22"/>
          <w:szCs w:val="22"/>
        </w:rPr>
        <w:t xml:space="preserve"> spanning 2000–2025. An additional 30 records with incomplete affiliation data were flagged in a supplementary file and reviewed manually; those confirmed as Saudi-affiliated were retained in the dataset.</w:t>
      </w:r>
    </w:p>
    <w:p>
      <w:pPr>
        <w:spacing w:after="160" w:before="100"/>
        <w:jc w:val="both"/>
      </w:pPr>
      <w:r>
        <w:rPr>
          <w:rFonts w:ascii="Arial" w:cs="Arial" w:eastAsia="Arial" w:hAnsi="Arial"/>
          <w:sz w:val="22"/>
          <w:szCs w:val="22"/>
        </w:rPr>
        <w:t xml:space="preserve">Each retained record was standardized to the following fields: title, publication year, author names, author affiliations, journal or conference name, citation count (as retrieved at the time of search), author keywords, index keywords, MeSH terms (PubMed), and Digital Object Identifier. Missing keyword data were supplemented by merging author keyword, index keyword, and MeSH term fields; for records where all keyword fields remained empty, topical terms were extracted from the title using natural language processing to ensure maximum keyword coverage for thematic analysis.</w:t>
      </w:r>
    </w:p>
    <w:p>
      <w:pPr>
        <w:pStyle w:val="Heading2"/>
        <w:spacing w:after="120" w:before="240"/>
      </w:pPr>
      <w:r>
        <w:rPr>
          <w:rFonts w:ascii="Arial" w:cs="Arial" w:eastAsia="Arial" w:hAnsi="Arial"/>
          <w:b/>
          <w:bCs/>
          <w:color w:val="2E5090"/>
          <w:sz w:val="24"/>
          <w:szCs w:val="24"/>
        </w:rPr>
        <w:t xml:space="preserve">2.4 Bibliometric Indicators</w:t>
      </w:r>
    </w:p>
    <w:p>
      <w:pPr>
        <w:spacing w:after="160" w:before="100"/>
        <w:jc w:val="both"/>
      </w:pPr>
      <w:r>
        <w:rPr>
          <w:rFonts w:ascii="Arial" w:cs="Arial" w:eastAsia="Arial" w:hAnsi="Arial"/>
          <w:sz w:val="22"/>
          <w:szCs w:val="22"/>
        </w:rPr>
        <w:t xml:space="preserve">The following standard bibliometric indicators were computed for the full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Indicator</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publications (TP)</w:t>
            </w:r>
          </w:p>
        </w:tc>
        <w:tc>
          <w:tcPr>
            <w:tcW w:type="dxa" w:w="62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number of records in the final dataset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Annual growth rate (AAGR)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Compound annual growth rate of publication output calculated across the full study period</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H-index</w:t>
            </w:r>
          </w:p>
        </w:tc>
        <w:tc>
          <w:tcPr>
            <w:tcW w:type="dxa" w:w="62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largest value h such that h publications each have at least h citations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Mean citations per paper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citation count divided by total number of publications</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Citation skew</w:t>
            </w:r>
          </w:p>
        </w:tc>
        <w:tc>
          <w:tcPr>
            <w:tcW w:type="dxa" w:w="62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Difference between mean and median citations, indicating distribution asymmetry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Collaboration index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Proportion of multi-author and internationally co-authored papers</w:t>
            </w:r>
          </w:p>
        </w:tc>
      </w:tr>
    </w:tbl>
    <w:p>
      <w:pPr>
        <w:spacing w:after="0" w:before="160"/>
      </w:pPr>
    </w:p>
    <w:p>
      <w:pPr>
        <w:pStyle w:val="Heading2"/>
        <w:spacing w:after="120" w:before="240"/>
      </w:pPr>
      <w:r>
        <w:rPr>
          <w:rFonts w:ascii="Arial" w:cs="Arial" w:eastAsia="Arial" w:hAnsi="Arial"/>
          <w:b/>
          <w:bCs/>
          <w:color w:val="2E5090"/>
          <w:sz w:val="24"/>
          <w:szCs w:val="24"/>
        </w:rPr>
        <w:t xml:space="preserve">2.5 Analytical Tools</w:t>
      </w:r>
    </w:p>
    <w:p>
      <w:pPr>
        <w:spacing w:after="160" w:before="100"/>
        <w:jc w:val="both"/>
      </w:pPr>
      <w:r>
        <w:rPr>
          <w:rFonts w:ascii="Arial" w:cs="Arial" w:eastAsia="Arial" w:hAnsi="Arial"/>
          <w:sz w:val="22"/>
          <w:szCs w:val="22"/>
        </w:rPr>
        <w:t xml:space="preserve">All data processing, statistical computation, and figure generation were performed using Python (version 3.11). Bibliometric indicators and publication trend analyses were computed using the </w:t>
      </w:r>
      <w:r>
        <w:rPr>
          <w:rFonts w:ascii="Arial" w:cs="Arial" w:eastAsia="Arial" w:hAnsi="Arial"/>
          <w:i/>
          <w:iCs/>
          <w:sz w:val="22"/>
          <w:szCs w:val="22"/>
        </w:rPr>
        <w:t xml:space="preserve">pandas</w:t>
      </w:r>
      <w:r>
        <w:rPr>
          <w:rFonts w:ascii="Arial" w:cs="Arial" w:eastAsia="Arial" w:hAnsi="Arial"/>
          <w:sz w:val="22"/>
          <w:szCs w:val="22"/>
        </w:rPr>
        <w:t xml:space="preserve"> and </w:t>
      </w:r>
      <w:r>
        <w:rPr>
          <w:rFonts w:ascii="Arial" w:cs="Arial" w:eastAsia="Arial" w:hAnsi="Arial"/>
          <w:i/>
          <w:iCs/>
          <w:sz w:val="22"/>
          <w:szCs w:val="22"/>
        </w:rPr>
        <w:t xml:space="preserve">numpy</w:t>
      </w:r>
      <w:r>
        <w:rPr>
          <w:rFonts w:ascii="Arial" w:cs="Arial" w:eastAsia="Arial" w:hAnsi="Arial"/>
          <w:sz w:val="22"/>
          <w:szCs w:val="22"/>
        </w:rPr>
        <w:t xml:space="preserve"> libraries. Data visualizations — including the annual publication trend chart (Figure 1), country collaboration choropleth map (Figure 2), institutional productivity chart (Figure 3), and thematic evolution chart (Figure 6) — were produced using </w:t>
      </w:r>
      <w:r>
        <w:rPr>
          <w:rFonts w:ascii="Arial" w:cs="Arial" w:eastAsia="Arial" w:hAnsi="Arial"/>
          <w:i/>
          <w:iCs/>
          <w:sz w:val="22"/>
          <w:szCs w:val="22"/>
        </w:rPr>
        <w:t xml:space="preserve">matplotlib</w:t>
      </w:r>
      <w:r>
        <w:rPr>
          <w:rFonts w:ascii="Arial" w:cs="Arial" w:eastAsia="Arial" w:hAnsi="Arial"/>
          <w:sz w:val="22"/>
          <w:szCs w:val="22"/>
        </w:rPr>
        <w:t xml:space="preserve"> and </w:t>
      </w:r>
      <w:r>
        <w:rPr>
          <w:rFonts w:ascii="Arial" w:cs="Arial" w:eastAsia="Arial" w:hAnsi="Arial"/>
          <w:i/>
          <w:iCs/>
          <w:sz w:val="22"/>
          <w:szCs w:val="22"/>
        </w:rPr>
        <w:t xml:space="preserve">seaborn</w:t>
      </w:r>
      <w:r>
        <w:rPr>
          <w:rFonts w:ascii="Arial" w:cs="Arial" w:eastAsia="Arial" w:hAnsi="Arial"/>
          <w:sz w:val="22"/>
          <w:szCs w:val="22"/>
        </w:rPr>
        <w:t xml:space="preserve">, with all figures saved at 300 DPI for journal submission. Geographic mapping was performed using </w:t>
      </w:r>
      <w:r>
        <w:rPr>
          <w:rFonts w:ascii="Arial" w:cs="Arial" w:eastAsia="Arial" w:hAnsi="Arial"/>
          <w:i/>
          <w:iCs/>
          <w:sz w:val="22"/>
          <w:szCs w:val="22"/>
        </w:rPr>
        <w:t xml:space="preserve">geopandas</w:t>
      </w:r>
      <w:r>
        <w:rPr>
          <w:rFonts w:ascii="Arial" w:cs="Arial" w:eastAsia="Arial" w:hAnsi="Arial"/>
          <w:sz w:val="22"/>
          <w:szCs w:val="22"/>
        </w:rPr>
        <w:t xml:space="preserve"> with Natural Earth vector data. Network visualizations (co-authorship map, Figure 4; keyword co-occurrence map, Figure 5) were generated using VOSviewer (version 1.6.20, Leiden University). Keyword normalization and synonym merging were applied prior to all thematic analyses to reduce indexing inconsistencies.</w:t>
      </w:r>
    </w:p>
    <w:p>
      <w:pPr>
        <w:pStyle w:val="Heading2"/>
        <w:spacing w:after="120" w:before="240"/>
      </w:pPr>
      <w:r>
        <w:rPr>
          <w:rFonts w:ascii="Arial" w:cs="Arial" w:eastAsia="Arial" w:hAnsi="Arial"/>
          <w:b/>
          <w:bCs/>
          <w:color w:val="2E5090"/>
          <w:sz w:val="24"/>
          <w:szCs w:val="24"/>
        </w:rPr>
        <w:t xml:space="preserve">2.6 Temporal Analysis and Period Definition</w:t>
      </w:r>
    </w:p>
    <w:p>
      <w:pPr>
        <w:spacing w:after="160" w:before="100"/>
        <w:jc w:val="both"/>
      </w:pPr>
      <w:r>
        <w:rPr>
          <w:rFonts w:ascii="Arial" w:cs="Arial" w:eastAsia="Arial" w:hAnsi="Arial"/>
          <w:sz w:val="22"/>
          <w:szCs w:val="22"/>
        </w:rPr>
        <w:t xml:space="preserve">The full 25-year study period (2000–2025) was divided into two analytical epochs based on observable inflection points in the publication trend and the history of keratoconus management in Saudi Arabia:</w:t>
      </w:r>
    </w:p>
    <w:p>
      <w:pPr>
        <w:pStyle w:val="ListParagraph"/>
        <w:numPr>
          <w:ilvl w:val="0"/>
          <w:numId w:val="3"/>
        </w:numPr>
        <w:spacing w:after="60" w:before="80"/>
      </w:pPr>
      <w:r>
        <w:rPr>
          <w:rFonts w:ascii="Arial" w:cs="Arial" w:eastAsia="Arial" w:hAnsi="Arial"/>
          <w:b/>
          <w:bCs/>
          <w:sz w:val="22"/>
          <w:szCs w:val="22"/>
        </w:rPr>
        <w:t xml:space="preserve">Early period (2000–2012): </w:t>
      </w:r>
      <w:r>
        <w:rPr>
          <w:rFonts w:ascii="Arial" w:cs="Arial" w:eastAsia="Arial" w:hAnsi="Arial"/>
          <w:sz w:val="22"/>
          <w:szCs w:val="22"/>
        </w:rPr>
        <w:t xml:space="preserve">Representing the pre-Vision 2030 era, characterized by foundational prevalence studies and surgical outcomes research. This period predates the widespread adoption of corneal crosslinking (CXL) as a standard treatment in the Kingdom.</w:t>
      </w:r>
    </w:p>
    <w:p>
      <w:pPr>
        <w:pStyle w:val="ListParagraph"/>
        <w:numPr>
          <w:ilvl w:val="0"/>
          <w:numId w:val="3"/>
        </w:numPr>
        <w:spacing w:after="160" w:before="60"/>
      </w:pPr>
      <w:r>
        <w:rPr>
          <w:rFonts w:ascii="Arial" w:cs="Arial" w:eastAsia="Arial" w:hAnsi="Arial"/>
          <w:b/>
          <w:bCs/>
          <w:sz w:val="22"/>
          <w:szCs w:val="22"/>
        </w:rPr>
        <w:t xml:space="preserve">Recent period (2013–2024): </w:t>
      </w:r>
      <w:r>
        <w:rPr>
          <w:rFonts w:ascii="Arial" w:cs="Arial" w:eastAsia="Arial" w:hAnsi="Arial"/>
          <w:sz w:val="22"/>
          <w:szCs w:val="22"/>
        </w:rPr>
        <w:t xml:space="preserve">Encompassing the post-Vision 2030 era and the period of accelerated healthcare infrastructure investment in Saudi Arabia, during which annual publication output increased substantially. The year 2016 — the launch of Saudi Vision 2030 — was marked as a key milestone in temporal analyses.</w:t>
      </w:r>
    </w:p>
    <w:p>
      <w:pPr>
        <w:spacing w:after="160" w:before="100"/>
        <w:jc w:val="both"/>
      </w:pPr>
      <w:r>
        <w:rPr>
          <w:rFonts w:ascii="Arial" w:cs="Arial" w:eastAsia="Arial" w:hAnsi="Arial"/>
          <w:sz w:val="22"/>
          <w:szCs w:val="22"/>
        </w:rPr>
        <w:t xml:space="preserve">The year 2025 was retained in trend analysis but excluded from thematic period comparisons to avoid bias from incomplete annual indexing, and the corresponding bar in Figure 1 was visually distinguished as a partial year.</w:t>
      </w:r>
    </w:p>
    <w:p>
      <w:pPr>
        <w:pStyle w:val="Heading2"/>
        <w:spacing w:after="120" w:before="240"/>
      </w:pPr>
      <w:r>
        <w:rPr>
          <w:rFonts w:ascii="Arial" w:cs="Arial" w:eastAsia="Arial" w:hAnsi="Arial"/>
          <w:b/>
          <w:bCs/>
          <w:color w:val="2E5090"/>
          <w:sz w:val="24"/>
          <w:szCs w:val="24"/>
        </w:rPr>
        <w:t xml:space="preserve">2.7 Collaboration and Network Analysis</w:t>
      </w:r>
    </w:p>
    <w:p>
      <w:pPr>
        <w:spacing w:after="160" w:before="100"/>
        <w:jc w:val="both"/>
      </w:pPr>
      <w:r>
        <w:rPr>
          <w:rFonts w:ascii="Arial" w:cs="Arial" w:eastAsia="Arial" w:hAnsi="Arial"/>
          <w:sz w:val="22"/>
          <w:szCs w:val="22"/>
        </w:rPr>
        <w:t xml:space="preserve">International collaboration was assessed by extracting the country of affiliation for each co-author on every paper. A paper was classified as internationally collaborative if it included at least one Saudi-affiliated author and at least one author from a non-Saudi institution. Country-level collaboration frequencies were visualized as a choropleth world map (Figure 2). Institutional analysis was restricted to named institutions within the final KC-specific dataset; institution name variants were normalized using fuzzy string matching prior to frequency counting. Geographic classification of Saudi institutions was assigned by city: Riyadh, Jeddah, Dammam, Other Saudi, or International.</w:t>
      </w:r>
    </w:p>
    <w:p>
      <w:pPr>
        <w:pStyle w:val="Heading2"/>
        <w:spacing w:after="120" w:before="240"/>
      </w:pPr>
      <w:r>
        <w:rPr>
          <w:rFonts w:ascii="Arial" w:cs="Arial" w:eastAsia="Arial" w:hAnsi="Arial"/>
          <w:b/>
          <w:bCs/>
          <w:color w:val="2E5090"/>
          <w:sz w:val="24"/>
          <w:szCs w:val="24"/>
        </w:rPr>
        <w:t xml:space="preserve">2.8 Thematic Analysis</w:t>
      </w:r>
    </w:p>
    <w:p>
      <w:pPr>
        <w:spacing w:after="160" w:before="100"/>
        <w:jc w:val="both"/>
      </w:pPr>
      <w:r>
        <w:rPr>
          <w:rFonts w:ascii="Arial" w:cs="Arial" w:eastAsia="Arial" w:hAnsi="Arial"/>
          <w:sz w:val="22"/>
          <w:szCs w:val="22"/>
        </w:rPr>
        <w:t xml:space="preserve">Research themes were mapped through keyword co-occurrence analysis. All available keyword fields (author keywords, index keywords, MeSH terms, and title-derived terms) were merged and cleaned. Generic geographic (</w:t>
      </w:r>
      <w:r>
        <w:rPr>
          <w:rFonts w:ascii="Arial" w:cs="Arial" w:eastAsia="Arial" w:hAnsi="Arial"/>
          <w:i/>
          <w:iCs/>
          <w:sz w:val="22"/>
          <w:szCs w:val="22"/>
        </w:rPr>
        <w:t xml:space="preserve">Saudi Arabia</w:t>
      </w:r>
      <w:r>
        <w:rPr>
          <w:rFonts w:ascii="Arial" w:cs="Arial" w:eastAsia="Arial" w:hAnsi="Arial"/>
          <w:sz w:val="22"/>
          <w:szCs w:val="22"/>
        </w:rPr>
        <w:t xml:space="preserve">), methodological (</w:t>
      </w:r>
      <w:r>
        <w:rPr>
          <w:rFonts w:ascii="Arial" w:cs="Arial" w:eastAsia="Arial" w:hAnsi="Arial"/>
          <w:i/>
          <w:iCs/>
          <w:sz w:val="22"/>
          <w:szCs w:val="22"/>
        </w:rPr>
        <w:t xml:space="preserve">retrospective study, case report</w:t>
      </w:r>
      <w:r>
        <w:rPr>
          <w:rFonts w:ascii="Arial" w:cs="Arial" w:eastAsia="Arial" w:hAnsi="Arial"/>
          <w:sz w:val="22"/>
          <w:szCs w:val="22"/>
        </w:rPr>
        <w:t xml:space="preserve">), and non-thematic indexing terms were removed from the keyword corpus prior to analysis. Keywords were counted per time period and the top 20 terms per period were visualized in a parallel bar chart (Figure 6). Keywords appearing in both time periods were identified and visually distinguished to indicate thematic persistence. Keyword co-occurrence network mapping was additionally performed in VOSviewer using a minimum co-occurrence threshold of three instances (Figure 5).</w:t>
      </w:r>
    </w:p>
    <w:p>
      <w:pPr>
        <w:pStyle w:val="Heading2"/>
        <w:spacing w:after="120" w:before="240"/>
      </w:pPr>
      <w:r>
        <w:rPr>
          <w:rFonts w:ascii="Arial" w:cs="Arial" w:eastAsia="Arial" w:hAnsi="Arial"/>
          <w:b/>
          <w:bCs/>
          <w:color w:val="2E5090"/>
          <w:sz w:val="24"/>
          <w:szCs w:val="24"/>
        </w:rPr>
        <w:t xml:space="preserve">2.9 Quality Assurance</w:t>
      </w:r>
    </w:p>
    <w:p>
      <w:pPr>
        <w:spacing w:after="160" w:before="100"/>
        <w:jc w:val="both"/>
      </w:pPr>
      <w:r>
        <w:rPr>
          <w:rFonts w:ascii="Arial" w:cs="Arial" w:eastAsia="Arial" w:hAnsi="Arial"/>
          <w:sz w:val="22"/>
          <w:szCs w:val="22"/>
        </w:rPr>
        <w:t xml:space="preserve">To ensure reproducibility, all search strings, inclusion/exclusion criteria, and processing steps were documented and are available as supplementary material. The topic-relevance filtering step was independently verified by manual review of a random 10% sample of excluded records to confirm appropriate removal. Citation counts reflect values retrieved at the time of database export (June 2025) and may not represent current citation status.</w:t>
      </w:r>
    </w:p>
    <w:p>
      <w:pPr>
        <w:spacing w:after="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2026-06-01T18:23:44.773Z</dcterms:created>
  <dcterms:modified xsi:type="dcterms:W3CDTF">2026-06-01T18:23:44.773Z</dcterms:modified>
</cp:coreProperties>
</file>

<file path=docProps/custom.xml><?xml version="1.0" encoding="utf-8"?>
<Properties xmlns="http://schemas.openxmlformats.org/officeDocument/2006/custom-properties" xmlns:vt="http://schemas.openxmlformats.org/officeDocument/2006/docPropsVTypes"/>
</file>