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2"/>
          <w:szCs w:val="32"/>
        </w:rPr>
        <w:t xml:space="preserve">Two Decades of Keratoconus Research in Saudi Arabia:</w:t>
      </w:r>
    </w:p>
    <w:p>
      <w:pPr>
        <w:spacing w:after="480" w:before="0"/>
        <w:jc w:val="center"/>
      </w:pPr>
      <w:r>
        <w:rPr>
          <w:rFonts w:ascii="Arial" w:cs="Arial" w:eastAsia="Arial" w:hAnsi="Arial"/>
          <w:b/>
          <w:bCs/>
          <w:color w:val="1F3864"/>
          <w:sz w:val="32"/>
          <w:szCs w:val="32"/>
        </w:rPr>
        <w:t xml:space="preserve">A Bibliometric Analysis (2000–2025)</w:t>
      </w:r>
    </w:p>
    <w:p>
      <w:pPr>
        <w:pStyle w:val="Heading1"/>
        <w:spacing w:after="180" w:before="360"/>
      </w:pPr>
      <w:r>
        <w:rPr>
          <w:rFonts w:ascii="Arial" w:cs="Arial" w:eastAsia="Arial" w:hAnsi="Arial"/>
          <w:b/>
          <w:bCs/>
          <w:color w:val="1F3864"/>
          <w:sz w:val="28"/>
          <w:szCs w:val="28"/>
        </w:rPr>
        <w:t xml:space="preserve">3. Results</w:t>
      </w:r>
    </w:p>
    <w:p>
      <w:pPr>
        <w:spacing w:after="160" w:before="60"/>
        <w:jc w:val="both"/>
      </w:pPr>
      <w:r>
        <w:rPr>
          <w:rFonts w:ascii="Arial" w:cs="Arial" w:eastAsia="Arial" w:hAnsi="Arial"/>
          <w:sz w:val="22"/>
          <w:szCs w:val="22"/>
        </w:rPr>
        <w:t xml:space="preserve">A total of </w:t>
      </w:r>
      <w:r>
        <w:rPr>
          <w:rFonts w:ascii="Arial" w:cs="Arial" w:eastAsia="Arial" w:hAnsi="Arial"/>
          <w:b/>
          <w:bCs/>
          <w:sz w:val="22"/>
          <w:szCs w:val="22"/>
        </w:rPr>
        <w:t xml:space="preserve">367 publications</w:t>
      </w:r>
      <w:r>
        <w:rPr>
          <w:rFonts w:ascii="Arial" w:cs="Arial" w:eastAsia="Arial" w:hAnsi="Arial"/>
          <w:sz w:val="22"/>
          <w:szCs w:val="22"/>
        </w:rPr>
        <w:t xml:space="preserve"> on keratoconus and related corneal disease from Saudi Arabian institutions were identified and retained in the final dataset, spanning the period from 2000 to 2025. These records were distributed across </w:t>
      </w:r>
      <w:r>
        <w:rPr>
          <w:rFonts w:ascii="Arial" w:cs="Arial" w:eastAsia="Arial" w:hAnsi="Arial"/>
          <w:b/>
          <w:bCs/>
          <w:sz w:val="22"/>
          <w:szCs w:val="22"/>
        </w:rPr>
        <w:t xml:space="preserve">184 unique journals</w:t>
      </w:r>
      <w:r>
        <w:rPr>
          <w:rFonts w:ascii="Arial" w:cs="Arial" w:eastAsia="Arial" w:hAnsi="Arial"/>
          <w:sz w:val="22"/>
          <w:szCs w:val="22"/>
        </w:rPr>
        <w:t xml:space="preserve"> and involved </w:t>
      </w:r>
      <w:r>
        <w:rPr>
          <w:rFonts w:ascii="Arial" w:cs="Arial" w:eastAsia="Arial" w:hAnsi="Arial"/>
          <w:b/>
          <w:bCs/>
          <w:sz w:val="22"/>
          <w:szCs w:val="22"/>
        </w:rPr>
        <w:t xml:space="preserve">1,542 unique authors</w:t>
      </w:r>
      <w:r>
        <w:rPr>
          <w:rFonts w:ascii="Arial" w:cs="Arial" w:eastAsia="Arial" w:hAnsi="Arial"/>
          <w:sz w:val="22"/>
          <w:szCs w:val="22"/>
        </w:rPr>
        <w:t xml:space="preserve"> affiliated with </w:t>
      </w:r>
      <w:r>
        <w:rPr>
          <w:rFonts w:ascii="Arial" w:cs="Arial" w:eastAsia="Arial" w:hAnsi="Arial"/>
          <w:b/>
          <w:bCs/>
          <w:sz w:val="22"/>
          <w:szCs w:val="22"/>
        </w:rPr>
        <w:t xml:space="preserve">186 institutions</w:t>
      </w:r>
      <w:r>
        <w:rPr>
          <w:rFonts w:ascii="Arial" w:cs="Arial" w:eastAsia="Arial" w:hAnsi="Arial"/>
          <w:sz w:val="22"/>
          <w:szCs w:val="22"/>
        </w:rPr>
        <w:t xml:space="preserve">. The mean citation count per paper was 19.6 (median: 5), reflecting a strongly right-skewed citation distribution characteristic of concentrated research impact. An overview of all key bibliometric indicators is presented in </w:t>
      </w:r>
      <w:r>
        <w:rPr>
          <w:rFonts w:ascii="Arial" w:cs="Arial" w:eastAsia="Arial" w:hAnsi="Arial"/>
          <w:b/>
          <w:bCs/>
          <w:color w:val="2E5090"/>
          <w:sz w:val="22"/>
          <w:szCs w:val="22"/>
        </w:rPr>
        <w:t xml:space="preserve">Table 1</w:t>
      </w:r>
      <w:r>
        <w:rPr>
          <w:rFonts w:ascii="Arial" w:cs="Arial" w:eastAsia="Arial" w:hAnsi="Arial"/>
          <w:sz w:val="22"/>
          <w:szCs w:val="22"/>
        </w:rPr>
        <w:t xml:space="preserve">.</w:t>
      </w:r>
    </w:p>
    <w:p>
      <w:pPr>
        <w:spacing w:after="80" w:before="160"/>
        <w:jc w:val="center"/>
      </w:pPr>
      <w:r>
        <w:rPr>
          <w:rFonts w:ascii="Arial" w:cs="Arial" w:eastAsia="Arial" w:hAnsi="Arial"/>
          <w:b/>
          <w:bCs/>
          <w:sz w:val="22"/>
          <w:szCs w:val="22"/>
        </w:rPr>
        <w:t xml:space="preserve">Table 1. </w:t>
      </w:r>
      <w:r>
        <w:rPr>
          <w:rFonts w:ascii="Arial" w:cs="Arial" w:eastAsia="Arial" w:hAnsi="Arial"/>
          <w:sz w:val="22"/>
          <w:szCs w:val="22"/>
        </w:rPr>
        <w:t xml:space="preserve">Summary bibliometric indicators for Saudi Arabian keratoconus research (2000–2025).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Bibliometric Indicator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r>
      <w:tr>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Total publications</w:t>
            </w:r>
          </w:p>
        </w:tc>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bCs/>
                <w:sz w:val="19"/>
                <w:szCs w:val="19"/>
              </w:rPr>
              <w:t xml:space="preserve">367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Study period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2000–2025</w:t>
            </w:r>
          </w:p>
        </w:tc>
      </w:tr>
      <w:tr>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Unique journals</w:t>
            </w:r>
          </w:p>
        </w:tc>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bCs/>
                <w:sz w:val="19"/>
                <w:szCs w:val="19"/>
              </w:rPr>
              <w:t xml:space="preserve">184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Unique authors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1,542</w:t>
            </w:r>
          </w:p>
        </w:tc>
      </w:tr>
      <w:tr>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Unique institutions</w:t>
            </w:r>
          </w:p>
        </w:tc>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bCs/>
                <w:sz w:val="19"/>
                <w:szCs w:val="19"/>
              </w:rPr>
              <w:t xml:space="preserve">186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Mean citations per paper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19.6</w:t>
            </w:r>
          </w:p>
        </w:tc>
      </w:tr>
      <w:tr>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Median citations per paper</w:t>
            </w:r>
          </w:p>
        </w:tc>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bCs/>
                <w:sz w:val="19"/>
                <w:szCs w:val="19"/>
              </w:rPr>
              <w:t xml:space="preserve">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Records from Scopus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337 (91.8%)</w:t>
            </w:r>
          </w:p>
        </w:tc>
      </w:tr>
      <w:tr>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Records from PubMed</w:t>
            </w:r>
          </w:p>
        </w:tc>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bCs/>
                <w:sz w:val="19"/>
                <w:szCs w:val="19"/>
              </w:rPr>
              <w:t xml:space="preserve">30 (8.2%)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Peak publication year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2022 (n = 50)</w:t>
            </w:r>
          </w:p>
        </w:tc>
      </w:tr>
      <w:tr>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Internationally collaborative papers</w:t>
            </w:r>
          </w:p>
        </w:tc>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bCs/>
                <w:sz w:val="19"/>
                <w:szCs w:val="19"/>
              </w:rPr>
              <w:t xml:space="preserve">118 (32.2%)</w:t>
            </w:r>
          </w:p>
        </w:tc>
      </w:tr>
    </w:tbl>
    <w:p>
      <w:pPr>
        <w:spacing w:after="280" w:before="80"/>
        <w:jc w:val="left"/>
      </w:pPr>
      <w:r>
        <w:rPr>
          <w:rFonts w:ascii="Arial" w:cs="Arial" w:eastAsia="Arial" w:hAnsi="Arial"/>
          <w:i/>
          <w:iCs/>
          <w:color w:val="666666"/>
          <w:sz w:val="18"/>
          <w:szCs w:val="18"/>
        </w:rPr>
        <w:t xml:space="preserve">Abbreviations: PubMed, National Library of Medicine database; Scopus, Elsevier bibliographic database.</w:t>
      </w:r>
    </w:p>
    <w:p>
      <w:pPr>
        <w:pStyle w:val="Heading2"/>
        <w:spacing w:after="140" w:before="280"/>
      </w:pPr>
      <w:r>
        <w:rPr>
          <w:rFonts w:ascii="Arial" w:cs="Arial" w:eastAsia="Arial" w:hAnsi="Arial"/>
          <w:b/>
          <w:bCs/>
          <w:color w:val="2E5090"/>
          <w:sz w:val="24"/>
          <w:szCs w:val="24"/>
        </w:rPr>
        <w:t xml:space="preserve">3.1 Annual Publication Trend and Growth Trajectory</w:t>
      </w:r>
    </w:p>
    <w:p>
      <w:pPr>
        <w:spacing w:after="160" w:before="60"/>
        <w:jc w:val="both"/>
      </w:pPr>
      <w:r>
        <w:rPr>
          <w:rFonts w:ascii="Arial" w:cs="Arial" w:eastAsia="Arial" w:hAnsi="Arial"/>
          <w:sz w:val="22"/>
          <w:szCs w:val="22"/>
        </w:rPr>
        <w:t xml:space="preserve">Annual publication output demonstrated a sustained upward trajectory across the study period, as illustrated in </w:t>
      </w:r>
      <w:r>
        <w:rPr>
          <w:rFonts w:ascii="Arial" w:cs="Arial" w:eastAsia="Arial" w:hAnsi="Arial"/>
          <w:b/>
          <w:bCs/>
          <w:color w:val="2E5090"/>
          <w:sz w:val="22"/>
          <w:szCs w:val="22"/>
        </w:rPr>
        <w:t xml:space="preserve">Figure 1</w:t>
      </w:r>
      <w:r>
        <w:rPr>
          <w:rFonts w:ascii="Arial" w:cs="Arial" w:eastAsia="Arial" w:hAnsi="Arial"/>
          <w:sz w:val="22"/>
          <w:szCs w:val="22"/>
        </w:rPr>
        <w:t xml:space="preserve">. Three clinically and historically meaningful phases were identified from the LOESS-smoothed trend curve:</w:t>
      </w:r>
    </w:p>
    <w:p>
      <w:pPr>
        <w:spacing w:after="80" w:before="60"/>
        <w:jc w:val="both"/>
      </w:pPr>
      <w:r>
        <w:rPr>
          <w:rFonts w:ascii="Arial" w:cs="Arial" w:eastAsia="Arial" w:hAnsi="Arial"/>
          <w:b/>
          <w:bCs/>
          <w:sz w:val="22"/>
          <w:szCs w:val="22"/>
        </w:rPr>
        <w:t xml:space="preserve">Phase I — Emergence (2000–2008): </w:t>
      </w:r>
      <w:r>
        <w:rPr>
          <w:rFonts w:ascii="Arial" w:cs="Arial" w:eastAsia="Arial" w:hAnsi="Arial"/>
          <w:sz w:val="22"/>
          <w:szCs w:val="22"/>
        </w:rPr>
        <w:t xml:space="preserve">Annual output remained low, ranging from 1 to 9 publications per year. Research activity during this period was sparse and episodic, reflecting the nascent state of structured ophthalmic research infrastructure in Saudi Arabia. The adoption of corneal crosslinking (CXL) as a standard intervention in 2008 marked the end of this phase.</w:t>
      </w:r>
    </w:p>
    <w:p>
      <w:pPr>
        <w:spacing w:after="80" w:before="60"/>
        <w:jc w:val="both"/>
      </w:pPr>
      <w:r>
        <w:rPr>
          <w:rFonts w:ascii="Arial" w:cs="Arial" w:eastAsia="Arial" w:hAnsi="Arial"/>
          <w:b/>
          <w:bCs/>
          <w:sz w:val="22"/>
          <w:szCs w:val="22"/>
        </w:rPr>
        <w:t xml:space="preserve">Phase II — Consolidation (2008–2016): </w:t>
      </w:r>
      <w:r>
        <w:rPr>
          <w:rFonts w:ascii="Arial" w:cs="Arial" w:eastAsia="Arial" w:hAnsi="Arial"/>
          <w:sz w:val="22"/>
          <w:szCs w:val="22"/>
        </w:rPr>
        <w:t xml:space="preserve">A period of steady but relatively flat growth, with annual output fluctuating between 6 and 13 publications. Despite CXL adoption, research volume did not accelerate substantially during this interval, suggesting that clinical implementation preceded research systematization.</w:t>
      </w:r>
    </w:p>
    <w:p>
      <w:pPr>
        <w:spacing w:after="160" w:before="60"/>
        <w:jc w:val="both"/>
      </w:pPr>
      <w:r>
        <w:rPr>
          <w:rFonts w:ascii="Arial" w:cs="Arial" w:eastAsia="Arial" w:hAnsi="Arial"/>
          <w:b/>
          <w:bCs/>
          <w:sz w:val="22"/>
          <w:szCs w:val="22"/>
        </w:rPr>
        <w:t xml:space="preserve">Phase III — Acceleration (2016–2025): </w:t>
      </w:r>
      <w:r>
        <w:rPr>
          <w:rFonts w:ascii="Arial" w:cs="Arial" w:eastAsia="Arial" w:hAnsi="Arial"/>
          <w:sz w:val="22"/>
          <w:szCs w:val="22"/>
        </w:rPr>
        <w:t xml:space="preserve">A sharp and sustained increase in publication output followed the launch of Saudi Vision 2030 in 2016, with annual publications rising from 4 in 2017 to a peak of 50 in 2022 — the highest single-year output recorded. The years 2022, 2023, and 2024 collectively accounted for more than 34% of all publications in the 25-year dataset. Output in 2025 (n = 32) represents a partial year and should be interpreted with caution.</w:t>
      </w:r>
    </w:p>
    <w:p>
      <w:pPr>
        <w:pBdr>
          <w:left w:val="single" w:color="2E75B6" w:sz="18" w:space="10"/>
        </w:pBdr>
        <w:spacing w:after="120" w:before="120"/>
        <w:ind w:left="400" w:right="400"/>
        <w:jc w:val="both"/>
      </w:pPr>
      <w:r>
        <w:rPr>
          <w:rFonts w:ascii="Arial" w:cs="Arial" w:eastAsia="Arial" w:hAnsi="Arial"/>
          <w:sz w:val="22"/>
          <w:szCs w:val="22"/>
        </w:rPr>
        <w:t xml:space="preserve">The Vision 2030 effect: annual output increased </w:t>
      </w:r>
      <w:r>
        <w:rPr>
          <w:rFonts w:ascii="Arial" w:cs="Arial" w:eastAsia="Arial" w:hAnsi="Arial"/>
          <w:b/>
          <w:bCs/>
          <w:sz w:val="22"/>
          <w:szCs w:val="22"/>
        </w:rPr>
        <w:t xml:space="preserve">fivefold</w:t>
      </w:r>
      <w:r>
        <w:rPr>
          <w:rFonts w:ascii="Arial" w:cs="Arial" w:eastAsia="Arial" w:hAnsi="Arial"/>
          <w:sz w:val="22"/>
          <w:szCs w:val="22"/>
        </w:rPr>
        <w:t xml:space="preserve"> between 2016 and 2022 (from 10 to 50 publications), representing the most rapid sustained growth phase in Saudi KC research history.</w:t>
      </w:r>
    </w:p>
    <w:p>
      <w:pPr>
        <w:pStyle w:val="Heading2"/>
        <w:spacing w:after="140" w:before="280"/>
      </w:pPr>
      <w:r>
        <w:rPr>
          <w:rFonts w:ascii="Arial" w:cs="Arial" w:eastAsia="Arial" w:hAnsi="Arial"/>
          <w:b/>
          <w:bCs/>
          <w:color w:val="2E5090"/>
          <w:sz w:val="24"/>
          <w:szCs w:val="24"/>
        </w:rPr>
        <w:t xml:space="preserve">3.2 Journal Distribution and Publication Venues</w:t>
      </w:r>
    </w:p>
    <w:p>
      <w:pPr>
        <w:spacing w:after="160" w:before="60"/>
        <w:jc w:val="both"/>
      </w:pPr>
      <w:r>
        <w:rPr>
          <w:rFonts w:ascii="Arial" w:cs="Arial" w:eastAsia="Arial" w:hAnsi="Arial"/>
          <w:sz w:val="22"/>
          <w:szCs w:val="22"/>
        </w:rPr>
        <w:t xml:space="preserve">The 367 publications were distributed across 184 unique journals, yielding a mean of 2.0 publications per journal — indicative of highly dispersed publication behaviour. The three most productive journals were the </w:t>
      </w:r>
      <w:r>
        <w:rPr>
          <w:rFonts w:ascii="Arial" w:cs="Arial" w:eastAsia="Arial" w:hAnsi="Arial"/>
          <w:i/>
          <w:iCs/>
          <w:sz w:val="22"/>
          <w:szCs w:val="22"/>
        </w:rPr>
        <w:t xml:space="preserve">Saudi Journal of Ophthalmology</w:t>
      </w:r>
      <w:r>
        <w:rPr>
          <w:rFonts w:ascii="Arial" w:cs="Arial" w:eastAsia="Arial" w:hAnsi="Arial"/>
          <w:sz w:val="22"/>
          <w:szCs w:val="22"/>
        </w:rPr>
        <w:t xml:space="preserve"> (n = 22, 6.0%), </w:t>
      </w:r>
      <w:r>
        <w:rPr>
          <w:rFonts w:ascii="Arial" w:cs="Arial" w:eastAsia="Arial" w:hAnsi="Arial"/>
          <w:i/>
          <w:iCs/>
          <w:sz w:val="22"/>
          <w:szCs w:val="22"/>
        </w:rPr>
        <w:t xml:space="preserve">Clinical Ophthalmology</w:t>
      </w:r>
      <w:r>
        <w:rPr>
          <w:rFonts w:ascii="Arial" w:cs="Arial" w:eastAsia="Arial" w:hAnsi="Arial"/>
          <w:sz w:val="22"/>
          <w:szCs w:val="22"/>
        </w:rPr>
        <w:t xml:space="preserve"> (n = 13, 3.5%), and the </w:t>
      </w:r>
      <w:r>
        <w:rPr>
          <w:rFonts w:ascii="Arial" w:cs="Arial" w:eastAsia="Arial" w:hAnsi="Arial"/>
          <w:i/>
          <w:iCs/>
          <w:sz w:val="22"/>
          <w:szCs w:val="22"/>
        </w:rPr>
        <w:t xml:space="preserve">Middle East African Journal of Ophthalmology</w:t>
      </w:r>
      <w:r>
        <w:rPr>
          <w:rFonts w:ascii="Arial" w:cs="Arial" w:eastAsia="Arial" w:hAnsi="Arial"/>
          <w:sz w:val="22"/>
          <w:szCs w:val="22"/>
        </w:rPr>
        <w:t xml:space="preserve"> (n = 12, 3.3%). Together, the top five journals accounted for fewer than 20% of all publications, confirming the absence of a dominant publication venue for Saudi KC research. The high journal scatter represents a potential barrier to literature synthesis and suggests that Saudi KC researchers do not yet constitute a cohesive publishing community around a flagship regional journal.</w:t>
      </w:r>
    </w:p>
    <w:p>
      <w:pPr>
        <w:pStyle w:val="Heading2"/>
        <w:spacing w:after="140" w:before="280"/>
      </w:pPr>
      <w:r>
        <w:rPr>
          <w:rFonts w:ascii="Arial" w:cs="Arial" w:eastAsia="Arial" w:hAnsi="Arial"/>
          <w:b/>
          <w:bCs/>
          <w:color w:val="2E5090"/>
          <w:sz w:val="24"/>
          <w:szCs w:val="24"/>
        </w:rPr>
        <w:t xml:space="preserve">3.3 Most-Cited Publications</w:t>
      </w:r>
    </w:p>
    <w:p>
      <w:pPr>
        <w:spacing w:after="160" w:before="60"/>
        <w:jc w:val="both"/>
      </w:pPr>
      <w:r>
        <w:rPr>
          <w:rFonts w:ascii="Arial" w:cs="Arial" w:eastAsia="Arial" w:hAnsi="Arial"/>
          <w:sz w:val="22"/>
          <w:szCs w:val="22"/>
        </w:rPr>
        <w:t xml:space="preserve">The top nine KC-specific publications by citation count are presented in </w:t>
      </w:r>
      <w:r>
        <w:rPr>
          <w:rFonts w:ascii="Arial" w:cs="Arial" w:eastAsia="Arial" w:hAnsi="Arial"/>
          <w:b/>
          <w:bCs/>
          <w:color w:val="2E5090"/>
          <w:sz w:val="22"/>
          <w:szCs w:val="22"/>
        </w:rPr>
        <w:t xml:space="preserve">Table 2</w:t>
      </w:r>
      <w:r>
        <w:rPr>
          <w:rFonts w:ascii="Arial" w:cs="Arial" w:eastAsia="Arial" w:hAnsi="Arial"/>
          <w:sz w:val="22"/>
          <w:szCs w:val="22"/>
        </w:rPr>
        <w:t xml:space="preserve">. Citation counts ranged from 60 to 109 among the top-ranked papers. The most-cited KC-specific publication was an ultrastructural analysis of corneal collagen fibril architecture in keratoconus (Akhtar et al., 2008; n = 109 citations), reflecting early and sustained international interest in the basic science of KC pathogenesis from Saudi-based researchers. Two publications addressed corneal crosslinking outcomes, and three focused on surgical keratoplasty — consistent with the dominant thematic clusters identified in subsequent analyses. Saudi first authors appeared in three of the nine most-cited papers (Al Suhaibani 2007; Al-Mezaine 2008; Al-Rajhi et al.), indicating meaningful domestic contribution to high-impact KC research. The large gap between mean (19.6) and median (5) citations confirms that the overall citation distribution is heavily right-skewed, with a small number of landmark papers driving aggregate impact metrics.</w:t>
      </w:r>
    </w:p>
    <w:p>
      <w:pPr>
        <w:spacing w:after="80" w:before="160"/>
        <w:jc w:val="center"/>
      </w:pPr>
      <w:r>
        <w:rPr>
          <w:rFonts w:ascii="Arial" w:cs="Arial" w:eastAsia="Arial" w:hAnsi="Arial"/>
          <w:b/>
          <w:bCs/>
          <w:sz w:val="22"/>
          <w:szCs w:val="22"/>
        </w:rPr>
        <w:t xml:space="preserve">Table 2. </w:t>
      </w:r>
      <w:r>
        <w:rPr>
          <w:rFonts w:ascii="Arial" w:cs="Arial" w:eastAsia="Arial" w:hAnsi="Arial"/>
          <w:sz w:val="22"/>
          <w:szCs w:val="22"/>
        </w:rPr>
        <w:t xml:space="preserve">Top nine most-cited keratoconus-specific publications from Saudi Arabia.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800"/>
        <w:gridCol w:w="800"/>
        <w:gridCol w:w="1800"/>
        <w:gridCol w:w="1200"/>
        <w:gridCol w:w="1200"/>
      </w:tblGrid>
      <w:tr>
        <w:tc>
          <w:tcPr>
            <w:tcW w:type="dxa" w:w="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Rank</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Title (truncated)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Year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Journal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Citations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First Author</w:t>
            </w:r>
          </w:p>
        </w:tc>
      </w:tr>
      <w:tr>
        <w:tc>
          <w:tcPr>
            <w:tcW w:type="dxa" w:w="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bCs/>
                <w:sz w:val="19"/>
                <w:szCs w:val="19"/>
              </w:rPr>
              <w:t xml:space="preserve">1</w:t>
            </w:r>
          </w:p>
        </w:tc>
        <w:tc>
          <w:tcPr>
            <w:tcW w:type="dxa" w:w="3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Ultrastructural analysis of collagen fibrils in keratoconus</w:t>
            </w:r>
          </w:p>
        </w:tc>
        <w:tc>
          <w:tcPr>
            <w:tcW w:type="dxa" w:w="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2008</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Acta Ophthalmologica</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109</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Akhtar 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Corneal collagen crosslinking for KC in paediatric patients — long-term outcomes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2017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Cornea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83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Padmanabhan P.</w:t>
            </w:r>
          </w:p>
        </w:tc>
      </w:tr>
      <w:tr>
        <w:tc>
          <w:tcPr>
            <w:tcW w:type="dxa" w:w="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bCs/>
                <w:sz w:val="19"/>
                <w:szCs w:val="19"/>
              </w:rPr>
              <w:t xml:space="preserve">3</w:t>
            </w:r>
          </w:p>
        </w:tc>
        <w:tc>
          <w:tcPr>
            <w:tcW w:type="dxa" w:w="3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ZNF469 mutations causing brittle cornea syndrome</w:t>
            </w:r>
          </w:p>
        </w:tc>
        <w:tc>
          <w:tcPr>
            <w:tcW w:type="dxa" w:w="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2013</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Mol. Genetics &amp; Metabolism</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74</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Rohrbach M.</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Acute corneal hydrops in keratoconus: age and severity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2007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British Journal of Ophthalmology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 Suhaibani A.H.</w:t>
            </w:r>
          </w:p>
        </w:tc>
      </w:tr>
      <w:tr>
        <w:tc>
          <w:tcPr>
            <w:tcW w:type="dxa" w:w="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bCs/>
                <w:sz w:val="19"/>
                <w:szCs w:val="19"/>
              </w:rPr>
              <w:t xml:space="preserve">5</w:t>
            </w:r>
          </w:p>
        </w:tc>
        <w:tc>
          <w:tcPr>
            <w:tcW w:type="dxa" w:w="3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Boston keratoprosthesis vs repeat donor keratoplasty</w:t>
            </w:r>
          </w:p>
        </w:tc>
        <w:tc>
          <w:tcPr>
            <w:tcW w:type="dxa" w:w="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2016</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Ophthalmology</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69</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Ahmad 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Lamellar corneal transplantation: a systematic review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2012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Survey of Ophthalmology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Arenas E.</w:t>
            </w:r>
          </w:p>
        </w:tc>
      </w:tr>
      <w:tr>
        <w:tc>
          <w:tcPr>
            <w:tcW w:type="dxa" w:w="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bCs/>
                <w:sz w:val="19"/>
                <w:szCs w:val="19"/>
              </w:rPr>
              <w:t xml:space="preserve">7</w:t>
            </w:r>
          </w:p>
        </w:tc>
        <w:tc>
          <w:tcPr>
            <w:tcW w:type="dxa" w:w="3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Pentacam vs ultrasound central corneal thickness comparison</w:t>
            </w:r>
          </w:p>
        </w:tc>
        <w:tc>
          <w:tcPr>
            <w:tcW w:type="dxa" w:w="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2008</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International Ophthalmology</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63</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Al-Mezaine H.S.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Keratoconus epidemiology: a systematic review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2022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Saudi Journal of Ophthalmology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61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Gomes J.A.P.</w:t>
            </w:r>
          </w:p>
        </w:tc>
      </w:tr>
      <w:tr>
        <w:tc>
          <w:tcPr>
            <w:tcW w:type="dxa" w:w="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bCs/>
                <w:sz w:val="19"/>
                <w:szCs w:val="19"/>
              </w:rPr>
              <w:t xml:space="preserve">9</w:t>
            </w:r>
          </w:p>
        </w:tc>
        <w:tc>
          <w:tcPr>
            <w:tcW w:type="dxa" w:w="3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Corneal collagen crosslinking for infectious keratitis</w:t>
            </w:r>
          </w:p>
        </w:tc>
        <w:tc>
          <w:tcPr>
            <w:tcW w:type="dxa" w:w="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2011</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Clinical Ophthalmology</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60</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Anwar H.M.</w:t>
            </w:r>
          </w:p>
        </w:tc>
      </w:tr>
    </w:tbl>
    <w:p>
      <w:pPr>
        <w:spacing w:after="280" w:before="80"/>
        <w:jc w:val="left"/>
      </w:pPr>
      <w:r>
        <w:rPr>
          <w:rFonts w:ascii="Arial" w:cs="Arial" w:eastAsia="Arial" w:hAnsi="Arial"/>
          <w:i/>
          <w:iCs/>
          <w:color w:val="666666"/>
          <w:sz w:val="18"/>
          <w:szCs w:val="18"/>
        </w:rPr>
        <w:t xml:space="preserve">Note: Citation counts retrieved at time of database export (June 2025). KC-specific topic filter applied; records unrelated to corneal disease were excluded.</w:t>
      </w:r>
    </w:p>
    <w:p>
      <w:pPr>
        <w:pStyle w:val="Heading2"/>
        <w:spacing w:after="140" w:before="280"/>
      </w:pPr>
      <w:r>
        <w:rPr>
          <w:rFonts w:ascii="Arial" w:cs="Arial" w:eastAsia="Arial" w:hAnsi="Arial"/>
          <w:b/>
          <w:bCs/>
          <w:color w:val="2E5090"/>
          <w:sz w:val="24"/>
          <w:szCs w:val="24"/>
        </w:rPr>
        <w:t xml:space="preserve">3.4 Institutional Productivity and Geographic Distribution</w:t>
      </w:r>
    </w:p>
    <w:p>
      <w:pPr>
        <w:spacing w:after="160" w:before="60"/>
        <w:jc w:val="both"/>
      </w:pPr>
      <w:r>
        <w:rPr>
          <w:rFonts w:ascii="Arial" w:cs="Arial" w:eastAsia="Arial" w:hAnsi="Arial"/>
          <w:sz w:val="22"/>
          <w:szCs w:val="22"/>
        </w:rPr>
        <w:t xml:space="preserve">A total of 186 institutions contributed to the Saudi KC literature (</w:t>
      </w:r>
      <w:r>
        <w:rPr>
          <w:rFonts w:ascii="Arial" w:cs="Arial" w:eastAsia="Arial" w:hAnsi="Arial"/>
          <w:b/>
          <w:bCs/>
          <w:color w:val="2E5090"/>
          <w:sz w:val="22"/>
          <w:szCs w:val="22"/>
        </w:rPr>
        <w:t xml:space="preserve">Figure 3</w:t>
      </w:r>
      <w:r>
        <w:rPr>
          <w:rFonts w:ascii="Arial" w:cs="Arial" w:eastAsia="Arial" w:hAnsi="Arial"/>
          <w:sz w:val="22"/>
          <w:szCs w:val="22"/>
        </w:rPr>
        <w:t xml:space="preserve">). King Khaled Eye Specialist Hospital (KKESH), Riyadh, was the dominant contributor with 48 publications — more than all other institutions combined within the top 15. King Saud University (KSU), also in Riyadh, ranked second with 32 publications. Together, KKESH and KSU accounted for 60.2% of the top 15 institutions' combined output (80 of 133 publications), reflecting a pronounced concentration of research activity within Riyadh-based tertiary specialist centres.</w:t>
      </w:r>
    </w:p>
    <w:p>
      <w:pPr>
        <w:spacing w:after="160" w:before="60"/>
        <w:jc w:val="both"/>
      </w:pPr>
      <w:r>
        <w:rPr>
          <w:rFonts w:ascii="Arial" w:cs="Arial" w:eastAsia="Arial" w:hAnsi="Arial"/>
          <w:sz w:val="22"/>
          <w:szCs w:val="22"/>
        </w:rPr>
        <w:t xml:space="preserve">Geographic analysis revealed significant regional disparities. Riyadh-based institutions dominated the top 15 in both volume and rank. In Jeddah, King Abdulaziz University contributed 25 publications and Magrabi Eye Hospital contributed 7. Dhahran Eye Specialist Hospital (n = 4) was the sole representative of the Eastern Province among the top contributors. Institutions from Abha (King Khalid University, n = 4) and Medina (National Guard Hospital, n = 1) appeared at the lower end of the ranking. No institutions from Makkah, Tabuk, Hail, or the northern regions were represented, indicating substantial geographic gaps in research productivity that do not reflect population distribution across the Kingdom.</w:t>
      </w:r>
    </w:p>
    <w:p>
      <w:pPr>
        <w:spacing w:after="160" w:before="60"/>
        <w:jc w:val="both"/>
      </w:pPr>
      <w:r>
        <w:rPr>
          <w:rFonts w:ascii="Arial" w:cs="Arial" w:eastAsia="Arial" w:hAnsi="Arial"/>
          <w:sz w:val="22"/>
          <w:szCs w:val="22"/>
        </w:rPr>
        <w:t xml:space="preserve">Three Italian institutions — University of Ferrara (n = 7), IRFO Forlì (n = 4), and Ospedali Privati Forlì Villa Igea (n = 4) — collectively contributed 15 publications, placing them within the top 15 globally. This clustering suggests a sustained bilateral Saudi–Italian corneal research collaboration rather than incidental co-authorship. The high total institution count (n = 186) relative to total publications (n = 367) confirms that the majority of contributing institutions produced only one or two papers, consistent with a fragmented research landscape dominated by isolated single-study contributions.</w:t>
      </w:r>
    </w:p>
    <w:p>
      <w:pPr>
        <w:pStyle w:val="Heading2"/>
        <w:spacing w:after="140" w:before="280"/>
      </w:pPr>
      <w:r>
        <w:rPr>
          <w:rFonts w:ascii="Arial" w:cs="Arial" w:eastAsia="Arial" w:hAnsi="Arial"/>
          <w:b/>
          <w:bCs/>
          <w:color w:val="2E5090"/>
          <w:sz w:val="24"/>
          <w:szCs w:val="24"/>
        </w:rPr>
        <w:t xml:space="preserve">3.5 International Collaboration Patterns</w:t>
      </w:r>
    </w:p>
    <w:p>
      <w:pPr>
        <w:spacing w:after="160" w:before="60"/>
        <w:jc w:val="both"/>
      </w:pPr>
      <w:r>
        <w:rPr>
          <w:rFonts w:ascii="Arial" w:cs="Arial" w:eastAsia="Arial" w:hAnsi="Arial"/>
          <w:sz w:val="22"/>
          <w:szCs w:val="22"/>
        </w:rPr>
        <w:t xml:space="preserve">Of the 367 publications, 118 (32.2%) involved at least one non-Saudi co-author, as visualised in the country collaboration choropleth map (</w:t>
      </w:r>
      <w:r>
        <w:rPr>
          <w:rFonts w:ascii="Arial" w:cs="Arial" w:eastAsia="Arial" w:hAnsi="Arial"/>
          <w:b/>
          <w:bCs/>
          <w:color w:val="2E5090"/>
          <w:sz w:val="22"/>
          <w:szCs w:val="22"/>
        </w:rPr>
        <w:t xml:space="preserve">Figure 2</w:t>
      </w:r>
      <w:r>
        <w:rPr>
          <w:rFonts w:ascii="Arial" w:cs="Arial" w:eastAsia="Arial" w:hAnsi="Arial"/>
          <w:sz w:val="22"/>
          <w:szCs w:val="22"/>
        </w:rPr>
        <w:t xml:space="preserve">). The United States was the leading collaborative partner (n = 11 papers), followed by Egypt (n = 8), the United Kingdom (n = 6), Italy (n = 4), Singapore (n = 3), Switzerland (n = 2), and Jordan (n = 2). Australia contributed to one collaborative publication.</w:t>
      </w:r>
    </w:p>
    <w:p>
      <w:pPr>
        <w:spacing w:after="160" w:before="60"/>
        <w:jc w:val="both"/>
      </w:pPr>
      <w:r>
        <w:rPr>
          <w:rFonts w:ascii="Arial" w:cs="Arial" w:eastAsia="Arial" w:hAnsi="Arial"/>
          <w:sz w:val="22"/>
          <w:szCs w:val="22"/>
        </w:rPr>
        <w:t xml:space="preserve">The Italian collaboration cluster identified in the institutional analysis (Section 3.4) was confirmed at the country level, with Italy's four collaborative papers originating from the same Forlì-based group. Egypt's prominence as the leading Arab-world collaborator is noteworthy, as both countries share a high KC prevalence, similar genetic risk profiles, and comparable climate conditions — factors that may underpin shared research interests in KC epidemiology and surgical outcomes.</w:t>
      </w:r>
    </w:p>
    <w:p>
      <w:pPr>
        <w:spacing w:after="160" w:before="60"/>
        <w:jc w:val="both"/>
      </w:pPr>
      <w:r>
        <w:rPr>
          <w:rFonts w:ascii="Arial" w:cs="Arial" w:eastAsia="Arial" w:hAnsi="Arial"/>
          <w:sz w:val="22"/>
          <w:szCs w:val="22"/>
        </w:rPr>
        <w:t xml:space="preserve">Notable by their absence were collaborative publications with Iran, Turkey, Pakistan, and India — countries with established KC research programs and high disease prevalence. No collaborative papers were identified from any sub-Saharan African or Latin American institution, and collaboration within the Gulf Cooperation Council (GCC) was limited to Jordan, reflecting a narrow regional research network despite geographic and epidemiological commonalities.</w:t>
      </w:r>
    </w:p>
    <w:p>
      <w:pPr>
        <w:pBdr>
          <w:left w:val="single" w:color="2E75B6" w:sz="18" w:space="10"/>
        </w:pBdr>
        <w:spacing w:after="120" w:before="120"/>
        <w:ind w:left="400" w:right="400"/>
        <w:jc w:val="both"/>
      </w:pPr>
      <w:r>
        <w:rPr>
          <w:rFonts w:ascii="Arial" w:cs="Arial" w:eastAsia="Arial" w:hAnsi="Arial"/>
          <w:sz w:val="22"/>
          <w:szCs w:val="22"/>
        </w:rPr>
        <w:t xml:space="preserve">Only </w:t>
      </w:r>
      <w:r>
        <w:rPr>
          <w:rFonts w:ascii="Arial" w:cs="Arial" w:eastAsia="Arial" w:hAnsi="Arial"/>
          <w:b/>
          <w:bCs/>
          <w:sz w:val="22"/>
          <w:szCs w:val="22"/>
        </w:rPr>
        <w:t xml:space="preserve">32.2%</w:t>
      </w:r>
      <w:r>
        <w:rPr>
          <w:rFonts w:ascii="Arial" w:cs="Arial" w:eastAsia="Arial" w:hAnsi="Arial"/>
          <w:sz w:val="22"/>
          <w:szCs w:val="22"/>
        </w:rPr>
        <w:t xml:space="preserve"> of Saudi KC publications involved international collaboration — substantially below the global average for ophthalmology research, where international co-authorship rates typically exceed 40–50% in high-output countries.</w:t>
      </w:r>
    </w:p>
    <w:p>
      <w:pPr>
        <w:pStyle w:val="Heading2"/>
        <w:spacing w:after="140" w:before="280"/>
      </w:pPr>
      <w:r>
        <w:rPr>
          <w:rFonts w:ascii="Arial" w:cs="Arial" w:eastAsia="Arial" w:hAnsi="Arial"/>
          <w:b/>
          <w:bCs/>
          <w:color w:val="2E5090"/>
          <w:sz w:val="24"/>
          <w:szCs w:val="24"/>
        </w:rPr>
        <w:t xml:space="preserve">3.6 Co-authorship Network Analysis</w:t>
      </w:r>
    </w:p>
    <w:p>
      <w:pPr>
        <w:spacing w:after="160" w:before="60"/>
        <w:jc w:val="both"/>
      </w:pPr>
      <w:r>
        <w:rPr>
          <w:rFonts w:ascii="Arial" w:cs="Arial" w:eastAsia="Arial" w:hAnsi="Arial"/>
          <w:sz w:val="22"/>
          <w:szCs w:val="22"/>
        </w:rPr>
        <w:t xml:space="preserve">Co-authorship network analysis identified 22 authors meeting the minimum productivity threshold of two or more publications (</w:t>
      </w:r>
      <w:r>
        <w:rPr>
          <w:rFonts w:ascii="Arial" w:cs="Arial" w:eastAsia="Arial" w:hAnsi="Arial"/>
          <w:b/>
          <w:bCs/>
          <w:color w:val="2E5090"/>
          <w:sz w:val="22"/>
          <w:szCs w:val="22"/>
        </w:rPr>
        <w:t xml:space="preserve">Figure 4</w:t>
      </w:r>
      <w:r>
        <w:rPr>
          <w:rFonts w:ascii="Arial" w:cs="Arial" w:eastAsia="Arial" w:hAnsi="Arial"/>
          <w:sz w:val="22"/>
          <w:szCs w:val="22"/>
        </w:rPr>
        <w:t xml:space="preserve">). Of these, 9 authors (40.9%) were interconnected within the primary collaboration network, forming four distinct research clusters. The remaining 13 authors (59.1%) appeared as isolated nodes with no co-authorship links to other productive KC researchers in the dataset.</w:t>
      </w:r>
    </w:p>
    <w:p>
      <w:pPr>
        <w:spacing w:after="160" w:before="60"/>
        <w:jc w:val="both"/>
      </w:pPr>
      <w:r>
        <w:rPr>
          <w:rFonts w:ascii="Arial" w:cs="Arial" w:eastAsia="Arial" w:hAnsi="Arial"/>
          <w:sz w:val="22"/>
          <w:szCs w:val="22"/>
        </w:rPr>
        <w:t xml:space="preserve">The four identified clusters represented distinct research programmes: (1) a </w:t>
      </w:r>
      <w:r>
        <w:rPr>
          <w:rFonts w:ascii="Arial" w:cs="Arial" w:eastAsia="Arial" w:hAnsi="Arial"/>
          <w:b/>
          <w:bCs/>
          <w:sz w:val="22"/>
          <w:szCs w:val="22"/>
        </w:rPr>
        <w:t xml:space="preserve">basic science cluster</w:t>
      </w:r>
      <w:r>
        <w:rPr>
          <w:rFonts w:ascii="Arial" w:cs="Arial" w:eastAsia="Arial" w:hAnsi="Arial"/>
          <w:sz w:val="22"/>
          <w:szCs w:val="22"/>
        </w:rPr>
        <w:t xml:space="preserve"> centred on ultrastructural corneal research (Akhtar S., Khan A.A., Almubrad T., Kirat O.), originating from KKESH; (2) a </w:t>
      </w:r>
      <w:r>
        <w:rPr>
          <w:rFonts w:ascii="Arial" w:cs="Arial" w:eastAsia="Arial" w:hAnsi="Arial"/>
          <w:b/>
          <w:bCs/>
          <w:sz w:val="22"/>
          <w:szCs w:val="22"/>
        </w:rPr>
        <w:t xml:space="preserve">clinical cornea outcomes cluster</w:t>
      </w:r>
      <w:r>
        <w:rPr>
          <w:rFonts w:ascii="Arial" w:cs="Arial" w:eastAsia="Arial" w:hAnsi="Arial"/>
          <w:sz w:val="22"/>
          <w:szCs w:val="22"/>
        </w:rPr>
        <w:t xml:space="preserve"> (Al-Karmalawy A.A., El Hamd M.A., Aboelez M.O., Belal A.), focused on surgical and interventional outcomes; (3) a </w:t>
      </w:r>
      <w:r>
        <w:rPr>
          <w:rFonts w:ascii="Arial" w:cs="Arial" w:eastAsia="Arial" w:hAnsi="Arial"/>
          <w:b/>
          <w:bCs/>
          <w:sz w:val="22"/>
          <w:szCs w:val="22"/>
        </w:rPr>
        <w:t xml:space="preserve">molecular and genetics cluster</w:t>
      </w:r>
      <w:r>
        <w:rPr>
          <w:rFonts w:ascii="Arial" w:cs="Arial" w:eastAsia="Arial" w:hAnsi="Arial"/>
          <w:sz w:val="22"/>
          <w:szCs w:val="22"/>
        </w:rPr>
        <w:t xml:space="preserve"> (Elkady H., Elkaeed E.B., Metwaly A.M., Eissa I.H., Alsfouk A.A.), representing an Egyptian-origin research group based in Saudi institutions; and (4) a </w:t>
      </w:r>
      <w:r>
        <w:rPr>
          <w:rFonts w:ascii="Arial" w:cs="Arial" w:eastAsia="Arial" w:hAnsi="Arial"/>
          <w:b/>
          <w:bCs/>
          <w:sz w:val="22"/>
          <w:szCs w:val="22"/>
        </w:rPr>
        <w:t xml:space="preserve">founding surgical cluster</w:t>
      </w:r>
      <w:r>
        <w:rPr>
          <w:rFonts w:ascii="Arial" w:cs="Arial" w:eastAsia="Arial" w:hAnsi="Arial"/>
          <w:sz w:val="22"/>
          <w:szCs w:val="22"/>
        </w:rPr>
        <w:t xml:space="preserve"> (Wagoner M.D., Al-Rajhi A.A., Tabbara K.F., Al-Swailem S.A., Edward D.P., Alkatan H.M.), representing the pioneering generation of Saudi corneal surgery research, centred at KKESH during the early study period.</w:t>
      </w:r>
    </w:p>
    <w:p>
      <w:pPr>
        <w:spacing w:after="160" w:before="60"/>
        <w:jc w:val="both"/>
      </w:pPr>
      <w:r>
        <w:rPr>
          <w:rFonts w:ascii="Arial" w:cs="Arial" w:eastAsia="Arial" w:hAnsi="Arial"/>
          <w:sz w:val="22"/>
          <w:szCs w:val="22"/>
        </w:rPr>
        <w:t xml:space="preserve">The complete absence of inter-cluster connections indicates that these four research groups have operated in parallel without cross-collaboration throughout the study period. This structural fragmentation — in which 59.1% of productive researchers remain isolated and no bridges exist between active clusters — represents a critical gap in Saudi KC research networking and limits opportunities for multidisciplinary study designs, multi-centre trials, and knowledge transfer between basic science and clinical research groups.</w:t>
      </w:r>
    </w:p>
    <w:p>
      <w:pPr>
        <w:pStyle w:val="Heading2"/>
        <w:spacing w:after="140" w:before="280"/>
      </w:pPr>
      <w:r>
        <w:rPr>
          <w:rFonts w:ascii="Arial" w:cs="Arial" w:eastAsia="Arial" w:hAnsi="Arial"/>
          <w:b/>
          <w:bCs/>
          <w:color w:val="2E5090"/>
          <w:sz w:val="24"/>
          <w:szCs w:val="24"/>
        </w:rPr>
        <w:t xml:space="preserve">3.7 Keyword Co-occurrence and Thematic Clustering</w:t>
      </w:r>
    </w:p>
    <w:p>
      <w:pPr>
        <w:spacing w:after="160" w:before="60"/>
        <w:jc w:val="both"/>
      </w:pPr>
      <w:r>
        <w:rPr>
          <w:rFonts w:ascii="Arial" w:cs="Arial" w:eastAsia="Arial" w:hAnsi="Arial"/>
          <w:sz w:val="22"/>
          <w:szCs w:val="22"/>
        </w:rPr>
        <w:t xml:space="preserve">Keyword co-occurrence analysis identified 49 terms meeting the minimum threshold of three occurrences, of which 30 (61.2%) formed an interconnected primary network (</w:t>
      </w:r>
      <w:r>
        <w:rPr>
          <w:rFonts w:ascii="Arial" w:cs="Arial" w:eastAsia="Arial" w:hAnsi="Arial"/>
          <w:b/>
          <w:bCs/>
          <w:color w:val="2E5090"/>
          <w:sz w:val="22"/>
          <w:szCs w:val="22"/>
        </w:rPr>
        <w:t xml:space="preserve">Figure 5</w:t>
      </w:r>
      <w:r>
        <w:rPr>
          <w:rFonts w:ascii="Arial" w:cs="Arial" w:eastAsia="Arial" w:hAnsi="Arial"/>
          <w:sz w:val="22"/>
          <w:szCs w:val="22"/>
        </w:rPr>
        <w:t xml:space="preserve">). Five thematic clusters were identified within the connected network:</w:t>
      </w:r>
    </w:p>
    <w:p>
      <w:pPr>
        <w:pStyle w:val="ListParagraph"/>
        <w:numPr>
          <w:ilvl w:val="0"/>
          <w:numId w:val="2"/>
        </w:numPr>
        <w:spacing w:after="60" w:before="80"/>
      </w:pPr>
      <w:r>
        <w:rPr>
          <w:rFonts w:ascii="Arial" w:cs="Arial" w:eastAsia="Arial" w:hAnsi="Arial"/>
          <w:b/>
          <w:bCs/>
          <w:sz w:val="22"/>
          <w:szCs w:val="22"/>
        </w:rPr>
        <w:t xml:space="preserve">Diagnostics and screening cluster </w:t>
      </w:r>
      <w:r>
        <w:rPr>
          <w:rFonts w:ascii="Arial" w:cs="Arial" w:eastAsia="Arial" w:hAnsi="Arial"/>
          <w:sz w:val="22"/>
          <w:szCs w:val="22"/>
        </w:rPr>
        <w:t xml:space="preserve">(blue): keratoconus, Pentacam, corneal topography, corneal thickness, central corneal thickness, corneal ectasia, and awareness — reflecting the dominant role of topographic screening in Saudi KC research.</w:t>
      </w:r>
    </w:p>
    <w:p>
      <w:pPr>
        <w:pStyle w:val="ListParagraph"/>
        <w:numPr>
          <w:ilvl w:val="0"/>
          <w:numId w:val="2"/>
        </w:numPr>
        <w:spacing w:after="60" w:before="60"/>
      </w:pPr>
      <w:r>
        <w:rPr>
          <w:rFonts w:ascii="Arial" w:cs="Arial" w:eastAsia="Arial" w:hAnsi="Arial"/>
          <w:b/>
          <w:bCs/>
          <w:sz w:val="22"/>
          <w:szCs w:val="22"/>
        </w:rPr>
        <w:t xml:space="preserve">Surgical outcomes cluster </w:t>
      </w:r>
      <w:r>
        <w:rPr>
          <w:rFonts w:ascii="Arial" w:cs="Arial" w:eastAsia="Arial" w:hAnsi="Arial"/>
          <w:sz w:val="22"/>
          <w:szCs w:val="22"/>
        </w:rPr>
        <w:t xml:space="preserve">(red): penetrating keratoplasty, lamellar keratoplasty, keratoplasty, cornea, and inflammation — confirming surgery as the central research focus, consistent with Figure 6 keyword findings.</w:t>
      </w:r>
    </w:p>
    <w:p>
      <w:pPr>
        <w:pStyle w:val="ListParagraph"/>
        <w:numPr>
          <w:ilvl w:val="0"/>
          <w:numId w:val="2"/>
        </w:numPr>
        <w:spacing w:after="60" w:before="60"/>
      </w:pPr>
      <w:r>
        <w:rPr>
          <w:rFonts w:ascii="Arial" w:cs="Arial" w:eastAsia="Arial" w:hAnsi="Arial"/>
          <w:b/>
          <w:bCs/>
          <w:sz w:val="22"/>
          <w:szCs w:val="22"/>
        </w:rPr>
        <w:t xml:space="preserve">Refractive co-morbidity cluster </w:t>
      </w:r>
      <w:r>
        <w:rPr>
          <w:rFonts w:ascii="Arial" w:cs="Arial" w:eastAsia="Arial" w:hAnsi="Arial"/>
          <w:sz w:val="22"/>
          <w:szCs w:val="22"/>
        </w:rPr>
        <w:t xml:space="preserve">(orange): myopia, astigmatism, refractive surgery, cataract surgery — indicating that Saudi KC research frequently occurs in the context of broader refractive disease management.</w:t>
      </w:r>
    </w:p>
    <w:p>
      <w:pPr>
        <w:pStyle w:val="ListParagraph"/>
        <w:numPr>
          <w:ilvl w:val="0"/>
          <w:numId w:val="2"/>
        </w:numPr>
        <w:spacing w:after="60" w:before="60"/>
      </w:pPr>
      <w:r>
        <w:rPr>
          <w:rFonts w:ascii="Arial" w:cs="Arial" w:eastAsia="Arial" w:hAnsi="Arial"/>
          <w:b/>
          <w:bCs/>
          <w:sz w:val="22"/>
          <w:szCs w:val="22"/>
        </w:rPr>
        <w:t xml:space="preserve">Corneal biology and CXL cluster </w:t>
      </w:r>
      <w:r>
        <w:rPr>
          <w:rFonts w:ascii="Arial" w:cs="Arial" w:eastAsia="Arial" w:hAnsi="Arial"/>
          <w:sz w:val="22"/>
          <w:szCs w:val="22"/>
        </w:rPr>
        <w:t xml:space="preserve">(yellow): corneal collagen cross-linking, proteoglycans, corneal thickness — confirming the presence of CXL research within the connected keyword network.</w:t>
      </w:r>
    </w:p>
    <w:p>
      <w:pPr>
        <w:pStyle w:val="ListParagraph"/>
        <w:numPr>
          <w:ilvl w:val="0"/>
          <w:numId w:val="2"/>
        </w:numPr>
        <w:spacing w:after="160" w:before="60"/>
      </w:pPr>
      <w:r>
        <w:rPr>
          <w:rFonts w:ascii="Arial" w:cs="Arial" w:eastAsia="Arial" w:hAnsi="Arial"/>
          <w:b/>
          <w:bCs/>
          <w:sz w:val="22"/>
          <w:szCs w:val="22"/>
        </w:rPr>
        <w:t xml:space="preserve">Emerging technology cluster </w:t>
      </w:r>
      <w:r>
        <w:rPr>
          <w:rFonts w:ascii="Arial" w:cs="Arial" w:eastAsia="Arial" w:hAnsi="Arial"/>
          <w:sz w:val="22"/>
          <w:szCs w:val="22"/>
        </w:rPr>
        <w:t xml:space="preserve">(green): artificial intelligence, deep learning, transepithelial photorefractive keratectomy, histopathology — a smaller but growing cluster reflecting recent diversification of Saudi KC research into computational and imaging-based methods.</w:t>
      </w:r>
    </w:p>
    <w:p>
      <w:pPr>
        <w:spacing w:after="160" w:before="60"/>
        <w:jc w:val="both"/>
      </w:pPr>
      <w:r>
        <w:rPr>
          <w:rFonts w:ascii="Arial" w:cs="Arial" w:eastAsia="Arial" w:hAnsi="Arial"/>
          <w:sz w:val="22"/>
          <w:szCs w:val="22"/>
        </w:rPr>
        <w:t xml:space="preserve">Three keywords appeared as isolated nodes disconnected from the primary network: </w:t>
      </w:r>
      <w:r>
        <w:rPr>
          <w:rFonts w:ascii="Arial" w:cs="Arial" w:eastAsia="Arial" w:hAnsi="Arial"/>
          <w:b/>
          <w:bCs/>
          <w:sz w:val="22"/>
          <w:szCs w:val="22"/>
        </w:rPr>
        <w:t xml:space="preserve">riboflavin</w:t>
      </w:r>
      <w:r>
        <w:rPr>
          <w:rFonts w:ascii="Arial" w:cs="Arial" w:eastAsia="Arial" w:hAnsi="Arial"/>
          <w:sz w:val="22"/>
          <w:szCs w:val="22"/>
        </w:rPr>
        <w:t xml:space="preserve">, </w:t>
      </w:r>
      <w:r>
        <w:rPr>
          <w:rFonts w:ascii="Arial" w:cs="Arial" w:eastAsia="Arial" w:hAnsi="Arial"/>
          <w:b/>
          <w:bCs/>
          <w:sz w:val="22"/>
          <w:szCs w:val="22"/>
        </w:rPr>
        <w:t xml:space="preserve">contact lenses</w:t>
      </w:r>
      <w:r>
        <w:rPr>
          <w:rFonts w:ascii="Arial" w:cs="Arial" w:eastAsia="Arial" w:hAnsi="Arial"/>
          <w:sz w:val="22"/>
          <w:szCs w:val="22"/>
        </w:rPr>
        <w:t xml:space="preserve">, and </w:t>
      </w:r>
      <w:r>
        <w:rPr>
          <w:rFonts w:ascii="Arial" w:cs="Arial" w:eastAsia="Arial" w:hAnsi="Arial"/>
          <w:b/>
          <w:bCs/>
          <w:sz w:val="22"/>
          <w:szCs w:val="22"/>
        </w:rPr>
        <w:t xml:space="preserve">wound healing</w:t>
      </w:r>
      <w:r>
        <w:rPr>
          <w:rFonts w:ascii="Arial" w:cs="Arial" w:eastAsia="Arial" w:hAnsi="Arial"/>
          <w:sz w:val="22"/>
          <w:szCs w:val="22"/>
        </w:rPr>
        <w:t xml:space="preserve">. The isolation of riboflavin is particularly informative: although 'corneal collagen cross-linking' appeared within the connected network (yellow cluster), 'riboflavin' — an alternative keyword used by a subset of CXL papers — showed no co-occurrence links with any other KC keyword. This demonstrates that Saudi CXL publications employ inconsistent terminology, creating a keyword-level disconnection between two bodies of work describing the same intervention. The isolation of 'contact lenses' indicates that KC contact lens fitting and management, despite its clinical importance, represents a separate and underintegrated research stream. 'Wound healing' similarly appeared as an isolated node, suggesting that corneal wound biology is explored in Saudi research but not yet connected to the broader KC literature.</w:t>
      </w:r>
    </w:p>
    <w:p>
      <w:pPr>
        <w:pStyle w:val="Heading2"/>
        <w:spacing w:after="140" w:before="280"/>
      </w:pPr>
      <w:r>
        <w:rPr>
          <w:rFonts w:ascii="Arial" w:cs="Arial" w:eastAsia="Arial" w:hAnsi="Arial"/>
          <w:b/>
          <w:bCs/>
          <w:color w:val="2E5090"/>
          <w:sz w:val="24"/>
          <w:szCs w:val="24"/>
        </w:rPr>
        <w:t xml:space="preserve">3.8 Evolution of Research Themes (2000–2012 vs 2013–2024)</w:t>
      </w:r>
    </w:p>
    <w:p>
      <w:pPr>
        <w:spacing w:after="160" w:before="60"/>
        <w:jc w:val="both"/>
      </w:pPr>
      <w:r>
        <w:rPr>
          <w:rFonts w:ascii="Arial" w:cs="Arial" w:eastAsia="Arial" w:hAnsi="Arial"/>
          <w:sz w:val="22"/>
          <w:szCs w:val="22"/>
        </w:rPr>
        <w:t xml:space="preserve">Comparative keyword frequency analysis across the two defined time periods revealed a significant evolution in Saudi KC research themes (</w:t>
      </w:r>
      <w:r>
        <w:rPr>
          <w:rFonts w:ascii="Arial" w:cs="Arial" w:eastAsia="Arial" w:hAnsi="Arial"/>
          <w:b/>
          <w:bCs/>
          <w:color w:val="2E5090"/>
          <w:sz w:val="22"/>
          <w:szCs w:val="22"/>
        </w:rPr>
        <w:t xml:space="preserve">Figure 6</w:t>
      </w:r>
      <w:r>
        <w:rPr>
          <w:rFonts w:ascii="Arial" w:cs="Arial" w:eastAsia="Arial" w:hAnsi="Arial"/>
          <w:sz w:val="22"/>
          <w:szCs w:val="22"/>
        </w:rPr>
        <w:t xml:space="preserve">). In the early period (2000–2012), the dominant keywords were corneal transplantation (n = 16), penetrating keratoplasty (n = 11), keratoconus (n = 10), and visual acuity (n = 9), reflecting a research focus on surgical management of advanced disease. Secondary themes included graft rejection (n = 5), keratomileusis (n = 5), graft survival (n = 4), and collagen (n = 4) — the latter representing early engagement with the biochemical substrate of KC that preceded CXL research.</w:t>
      </w:r>
    </w:p>
    <w:p>
      <w:pPr>
        <w:spacing w:after="160" w:before="60"/>
        <w:jc w:val="both"/>
      </w:pPr>
      <w:r>
        <w:rPr>
          <w:rFonts w:ascii="Arial" w:cs="Arial" w:eastAsia="Arial" w:hAnsi="Arial"/>
          <w:sz w:val="22"/>
          <w:szCs w:val="22"/>
        </w:rPr>
        <w:t xml:space="preserve">In the recent period (2013–2024), the thematic landscape expanded substantially. Corneal transplantation remained the highest-frequency keyword but increased nearly threefold (n = 45), while keratoconus emerged as a co-dominant primary term (n = 43) — indicating a shift from disease-as-surgical-endpoint to disease-as-primary-research-subject. Visual acuity (n = 25) and penetrating keratoplasty (n = 21) persisted as high-frequency terms (bold, indicating cross-period persistence), alongside new entries including astigmatism (n = 16), treatment outcome (n = 12), keratometry (n = 12), intraocular pressure (n = 10), myopia (n = 10), corneal topography/tomography (n = 8), corneal thickness (n = 8), and deep anterior lamellar keratoplasty (n = 9).</w:t>
      </w:r>
    </w:p>
    <w:p>
      <w:pPr>
        <w:spacing w:after="160" w:before="60"/>
        <w:jc w:val="both"/>
      </w:pPr>
      <w:r>
        <w:rPr>
          <w:rFonts w:ascii="Arial" w:cs="Arial" w:eastAsia="Arial" w:hAnsi="Arial"/>
          <w:sz w:val="22"/>
          <w:szCs w:val="22"/>
        </w:rPr>
        <w:t xml:space="preserve">Six keywords persisted across both time periods — corneal transplantation, penetrating keratoplasty, keratoconus, visual acuity, cornea disease, and postoperative complication — representing the stable surgical core of Saudi KC research identity. The disappearance of keratomileusis and graft rejection from the recent period's top terms suggests a shift away from refractive surgery complications and pure graft failure studies toward broader disease management approaches.</w:t>
      </w:r>
    </w:p>
    <w:p>
      <w:pPr>
        <w:pBdr>
          <w:left w:val="single" w:color="2E75B6" w:sz="18" w:space="10"/>
        </w:pBdr>
        <w:spacing w:after="120" w:before="120"/>
        <w:ind w:left="400" w:right="400"/>
        <w:jc w:val="both"/>
      </w:pPr>
      <w:r>
        <w:rPr>
          <w:rFonts w:ascii="Arial" w:cs="Arial" w:eastAsia="Arial" w:hAnsi="Arial"/>
          <w:b/>
          <w:bCs/>
          <w:sz w:val="22"/>
          <w:szCs w:val="22"/>
        </w:rPr>
        <w:t xml:space="preserve">Critical finding: </w:t>
      </w:r>
      <w:r>
        <w:rPr>
          <w:rFonts w:ascii="Arial" w:cs="Arial" w:eastAsia="Arial" w:hAnsi="Arial"/>
          <w:sz w:val="22"/>
          <w:szCs w:val="22"/>
        </w:rPr>
        <w:t xml:space="preserve">Corneal crosslinking did not emerge as a top keyword in either time period, despite being the internationally recognised first-line treatment for KC progression. This represents a significant gap between clinical practice adoption and research output documentation in Saudi Arabia, and constitutes an important recommendation for future research prioritisation.</w:t>
      </w:r>
    </w:p>
    <w:p>
      <w:pPr>
        <w:spacing w:after="160" w:before="280"/>
        <w:jc w:val="both"/>
      </w:pPr>
      <w:r>
        <w:rPr>
          <w:rFonts w:ascii="Arial" w:cs="Arial" w:eastAsia="Arial" w:hAnsi="Arial"/>
          <w:sz w:val="22"/>
          <w:szCs w:val="22"/>
        </w:rPr>
        <w:t xml:space="preserve">Collectively, the findings across all eight analytical dimensions — publication trend, journal distribution, citation impact, institutional geography, international collaboration, author networks, keyword co-occurrence, and thematic evolution — present a coherent portrait of Saudi KC research as a field that has grown substantially in volume, particularly since 2016, but remains structurally fragmented in authorship networks, geographically concentrated in Riyadh, limited in international collaboration breadth, and with a thematic gap in corneal crosslinking research output relative to its clinical adoption. These findings are discussed in context in Section 4.</w:t>
      </w:r>
    </w:p>
    <w:p>
      <w:pPr>
        <w:spacing w:after="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2026-06-02T06:01:08.268Z</dcterms:created>
  <dcterms:modified xsi:type="dcterms:W3CDTF">2026-06-02T06:01:08.284Z</dcterms:modified>
</cp:coreProperties>
</file>

<file path=docProps/custom.xml><?xml version="1.0" encoding="utf-8"?>
<Properties xmlns="http://schemas.openxmlformats.org/officeDocument/2006/custom-properties" xmlns:vt="http://schemas.openxmlformats.org/officeDocument/2006/docPropsVTypes"/>
</file>