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033A89" wp14:paraId="010B72A4" wp14:textId="0F86C30A">
      <w:pPr>
        <w:pStyle w:val="Heading3"/>
        <w:spacing w:before="281" w:beforeAutospacing="off" w:after="281" w:afterAutospacing="off"/>
      </w:pPr>
      <w:r w:rsidRPr="45033A89" w:rsidR="07939C74">
        <w:rPr>
          <w:rFonts w:ascii="Aptos" w:hAnsi="Aptos" w:eastAsia="Aptos" w:cs="Aptos"/>
          <w:b w:val="1"/>
          <w:bCs w:val="1"/>
          <w:noProof w:val="0"/>
          <w:color w:val="000000" w:themeColor="text1" w:themeTint="FF" w:themeShade="FF"/>
          <w:sz w:val="28"/>
          <w:szCs w:val="28"/>
          <w:lang w:val="en-US"/>
        </w:rPr>
        <w:t>Course Module 2: Diagnostic Techniques (Sensory &amp; Motor)</w:t>
      </w:r>
    </w:p>
    <w:p xmlns:wp14="http://schemas.microsoft.com/office/word/2010/wordml" w:rsidP="45033A89" wp14:paraId="0350FC2E" wp14:textId="29B72891">
      <w:pPr>
        <w:spacing w:before="240" w:beforeAutospacing="off" w:after="240" w:afterAutospacing="off"/>
      </w:pPr>
      <w:r w:rsidRPr="45033A89" w:rsidR="07939C74">
        <w:rPr>
          <w:rFonts w:ascii="Aptos" w:hAnsi="Aptos" w:eastAsia="Aptos" w:cs="Aptos"/>
          <w:b w:val="1"/>
          <w:bCs w:val="1"/>
          <w:noProof w:val="0"/>
          <w:color w:val="000000" w:themeColor="text1" w:themeTint="FF" w:themeShade="FF"/>
          <w:sz w:val="24"/>
          <w:szCs w:val="24"/>
          <w:lang w:val="en-US"/>
        </w:rPr>
        <w:t>Week 4 Topic:</w:t>
      </w:r>
      <w:r w:rsidRPr="45033A89" w:rsidR="07939C74">
        <w:rPr>
          <w:rFonts w:ascii="Aptos" w:hAnsi="Aptos" w:eastAsia="Aptos" w:cs="Aptos"/>
          <w:noProof w:val="0"/>
          <w:color w:val="000000" w:themeColor="text1" w:themeTint="FF" w:themeShade="FF"/>
          <w:sz w:val="24"/>
          <w:szCs w:val="24"/>
          <w:lang w:val="en-US"/>
        </w:rPr>
        <w:t xml:space="preserve"> Evaluation of Deviations (Cover Test &amp; Incomitancy)</w:t>
      </w:r>
    </w:p>
    <w:p xmlns:wp14="http://schemas.microsoft.com/office/word/2010/wordml" wp14:paraId="157FA3C2" wp14:textId="3657154B"/>
    <w:p xmlns:wp14="http://schemas.microsoft.com/office/word/2010/wordml" w:rsidP="45033A89" wp14:paraId="695F8A0C" wp14:textId="37F89653">
      <w:pPr>
        <w:pStyle w:val="Heading3"/>
        <w:spacing w:before="281" w:beforeAutospacing="off" w:after="281" w:afterAutospacing="off"/>
      </w:pPr>
      <w:r w:rsidRPr="45033A89" w:rsidR="07939C74">
        <w:rPr>
          <w:rFonts w:ascii="Aptos" w:hAnsi="Aptos" w:eastAsia="Aptos" w:cs="Aptos"/>
          <w:b w:val="1"/>
          <w:bCs w:val="1"/>
          <w:noProof w:val="0"/>
          <w:color w:val="000000" w:themeColor="text1" w:themeTint="FF" w:themeShade="FF"/>
          <w:sz w:val="28"/>
          <w:szCs w:val="28"/>
          <w:lang w:val="en-US"/>
        </w:rPr>
        <w:t>I. The Cover Test: Advanced Considerations</w:t>
      </w:r>
    </w:p>
    <w:p xmlns:wp14="http://schemas.microsoft.com/office/word/2010/wordml" w:rsidP="45033A89" wp14:paraId="0866A26A" wp14:textId="4DF87C7E">
      <w:pPr>
        <w:spacing w:before="240" w:beforeAutospacing="off" w:after="240" w:afterAutospacing="off"/>
      </w:pPr>
      <w:r w:rsidRPr="45033A89" w:rsidR="07939C74">
        <w:rPr>
          <w:rFonts w:ascii="Aptos" w:hAnsi="Aptos" w:eastAsia="Aptos" w:cs="Aptos"/>
          <w:noProof w:val="0"/>
          <w:color w:val="000000" w:themeColor="text1" w:themeTint="FF" w:themeShade="FF"/>
          <w:sz w:val="24"/>
          <w:szCs w:val="24"/>
          <w:lang w:val="en-US"/>
        </w:rPr>
        <w:t>The cover test remains the cornerstone of binocular assessment, distinguishing between heterophoria (latent) and strabismus (manifest). While often considered a basic skill, specific nuances in estimating angle size and assessing recovery are critical for accurate diagnosis.</w:t>
      </w:r>
    </w:p>
    <w:p xmlns:wp14="http://schemas.microsoft.com/office/word/2010/wordml" w:rsidP="45033A89" wp14:paraId="6130DC06" wp14:textId="0081A344">
      <w:pPr>
        <w:spacing w:before="240" w:beforeAutospacing="off" w:after="240" w:afterAutospacing="off"/>
      </w:pPr>
      <w:r w:rsidRPr="45033A89" w:rsidR="07939C74">
        <w:rPr>
          <w:rFonts w:ascii="Aptos" w:hAnsi="Aptos" w:eastAsia="Aptos" w:cs="Aptos"/>
          <w:b w:val="1"/>
          <w:bCs w:val="1"/>
          <w:noProof w:val="0"/>
          <w:color w:val="000000" w:themeColor="text1" w:themeTint="FF" w:themeShade="FF"/>
          <w:sz w:val="24"/>
          <w:szCs w:val="24"/>
          <w:lang w:val="en-US"/>
        </w:rPr>
        <w:t>1. Estimating the Angle of Deviation</w:t>
      </w:r>
    </w:p>
    <w:p xmlns:wp14="http://schemas.microsoft.com/office/word/2010/wordml" w:rsidP="45033A89" wp14:paraId="091ED8E6" wp14:textId="782369E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Visual Estimation:</w:t>
      </w:r>
      <w:r w:rsidRPr="45033A89" w:rsidR="07939C74">
        <w:rPr>
          <w:rFonts w:ascii="Aptos" w:hAnsi="Aptos" w:eastAsia="Aptos" w:cs="Aptos"/>
          <w:noProof w:val="0"/>
          <w:color w:val="000000" w:themeColor="text1" w:themeTint="FF" w:themeShade="FF"/>
          <w:sz w:val="24"/>
          <w:szCs w:val="24"/>
          <w:lang w:val="en-US"/>
        </w:rPr>
        <w:t xml:space="preserve"> Experienced practitioners can estimate the size of a deviation by observing the corneal reflex or the magnitude of the refixation movement.</w:t>
      </w:r>
    </w:p>
    <w:p xmlns:wp14="http://schemas.microsoft.com/office/word/2010/wordml" w:rsidP="45033A89" wp14:paraId="0F6D5F74" wp14:textId="16150415">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i w:val="1"/>
          <w:iCs w:val="1"/>
          <w:noProof w:val="0"/>
          <w:color w:val="000000" w:themeColor="text1" w:themeTint="FF" w:themeShade="FF"/>
          <w:sz w:val="24"/>
          <w:szCs w:val="24"/>
          <w:lang w:val="en-US"/>
        </w:rPr>
        <w:t>Linear approximation:</w:t>
      </w:r>
      <w:r w:rsidRPr="45033A89" w:rsidR="07939C74">
        <w:rPr>
          <w:rFonts w:ascii="Aptos" w:hAnsi="Aptos" w:eastAsia="Aptos" w:cs="Aptos"/>
          <w:noProof w:val="0"/>
          <w:color w:val="000000" w:themeColor="text1" w:themeTint="FF" w:themeShade="FF"/>
          <w:sz w:val="24"/>
          <w:szCs w:val="24"/>
          <w:lang w:val="en-US"/>
        </w:rPr>
        <w:t xml:space="preserve"> At a testing distance of 6 meters, the 6/12 Snellen line is approximately 12 cm long. A movement of the eye from one end of this line to the other corresponds to an angular deviation of approximately </w:t>
      </w:r>
      <w:r w:rsidRPr="45033A89" w:rsidR="07939C74">
        <w:rPr>
          <w:rFonts w:ascii="Aptos" w:hAnsi="Aptos" w:eastAsia="Aptos" w:cs="Aptos"/>
          <w:b w:val="1"/>
          <w:bCs w:val="1"/>
          <w:noProof w:val="0"/>
          <w:color w:val="000000" w:themeColor="text1" w:themeTint="FF" w:themeShade="FF"/>
          <w:sz w:val="24"/>
          <w:szCs w:val="24"/>
          <w:lang w:val="en-US"/>
        </w:rPr>
        <w:t>2 prism diopters ($2\Delta$)</w:t>
      </w:r>
      <w:r w:rsidRPr="45033A89" w:rsidR="07939C74">
        <w:rPr>
          <w:rFonts w:ascii="Aptos" w:hAnsi="Aptos" w:eastAsia="Aptos" w:cs="Aptos"/>
          <w:noProof w:val="0"/>
          <w:color w:val="000000" w:themeColor="text1" w:themeTint="FF" w:themeShade="FF"/>
          <w:sz w:val="24"/>
          <w:szCs w:val="24"/>
          <w:lang w:val="en-US"/>
        </w:rPr>
        <w:t>.</w:t>
      </w:r>
    </w:p>
    <w:p xmlns:wp14="http://schemas.microsoft.com/office/word/2010/wordml" w:rsidP="45033A89" wp14:paraId="4006CFA3" wp14:textId="34E4FE43">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i w:val="1"/>
          <w:iCs w:val="1"/>
          <w:noProof w:val="0"/>
          <w:color w:val="000000" w:themeColor="text1" w:themeTint="FF" w:themeShade="FF"/>
          <w:sz w:val="24"/>
          <w:szCs w:val="24"/>
          <w:lang w:val="en-US"/>
        </w:rPr>
        <w:t>Calibration:</w:t>
      </w:r>
      <w:r w:rsidRPr="45033A89" w:rsidR="07939C74">
        <w:rPr>
          <w:rFonts w:ascii="Aptos" w:hAnsi="Aptos" w:eastAsia="Aptos" w:cs="Aptos"/>
          <w:noProof w:val="0"/>
          <w:color w:val="000000" w:themeColor="text1" w:themeTint="FF" w:themeShade="FF"/>
          <w:sz w:val="24"/>
          <w:szCs w:val="24"/>
          <w:lang w:val="en-US"/>
        </w:rPr>
        <w:t xml:space="preserve"> Placing two marks on the wall 24 cm apart near the letter chart allows for calibration; if a patient looks between these marks, their eyes move by </w:t>
      </w:r>
      <w:r w:rsidRPr="45033A89" w:rsidR="07939C74">
        <w:rPr>
          <w:rFonts w:ascii="Aptos" w:hAnsi="Aptos" w:eastAsia="Aptos" w:cs="Aptos"/>
          <w:b w:val="1"/>
          <w:bCs w:val="1"/>
          <w:noProof w:val="0"/>
          <w:color w:val="000000" w:themeColor="text1" w:themeTint="FF" w:themeShade="FF"/>
          <w:sz w:val="24"/>
          <w:szCs w:val="24"/>
          <w:lang w:val="en-US"/>
        </w:rPr>
        <w:t>4$\Delta$</w:t>
      </w:r>
      <w:r w:rsidRPr="45033A89" w:rsidR="07939C74">
        <w:rPr>
          <w:rFonts w:ascii="Aptos" w:hAnsi="Aptos" w:eastAsia="Aptos" w:cs="Aptos"/>
          <w:noProof w:val="0"/>
          <w:color w:val="000000" w:themeColor="text1" w:themeTint="FF" w:themeShade="FF"/>
          <w:sz w:val="24"/>
          <w:szCs w:val="24"/>
          <w:lang w:val="en-US"/>
        </w:rPr>
        <w:t>.</w:t>
      </w:r>
    </w:p>
    <w:p xmlns:wp14="http://schemas.microsoft.com/office/word/2010/wordml" w:rsidP="45033A89" wp14:paraId="0DBAFFA4" wp14:textId="42984BB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Prism Cover Test (PCT):</w:t>
      </w:r>
      <w:r w:rsidRPr="45033A89" w:rsidR="07939C74">
        <w:rPr>
          <w:rFonts w:ascii="Aptos" w:hAnsi="Aptos" w:eastAsia="Aptos" w:cs="Aptos"/>
          <w:noProof w:val="0"/>
          <w:color w:val="000000" w:themeColor="text1" w:themeTint="FF" w:themeShade="FF"/>
          <w:sz w:val="24"/>
          <w:szCs w:val="24"/>
          <w:lang w:val="en-US"/>
        </w:rPr>
        <w:t xml:space="preserve"> This is the objective gold standard. It involves estimating the deviation and placing a prism bar before the deviating eye (or either eye in phoria) to neutralize the movement.</w:t>
      </w:r>
    </w:p>
    <w:p xmlns:wp14="http://schemas.microsoft.com/office/word/2010/wordml" w:rsidP="45033A89" wp14:paraId="7888923C" wp14:textId="007AA306">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i w:val="1"/>
          <w:iCs w:val="1"/>
          <w:noProof w:val="0"/>
          <w:color w:val="000000" w:themeColor="text1" w:themeTint="FF" w:themeShade="FF"/>
          <w:sz w:val="24"/>
          <w:szCs w:val="24"/>
          <w:lang w:val="en-US"/>
        </w:rPr>
        <w:t>Technical Note:</w:t>
      </w:r>
      <w:r w:rsidRPr="45033A89" w:rsidR="07939C74">
        <w:rPr>
          <w:rFonts w:ascii="Aptos" w:hAnsi="Aptos" w:eastAsia="Aptos" w:cs="Aptos"/>
          <w:noProof w:val="0"/>
          <w:color w:val="000000" w:themeColor="text1" w:themeTint="FF" w:themeShade="FF"/>
          <w:sz w:val="24"/>
          <w:szCs w:val="24"/>
          <w:lang w:val="en-US"/>
        </w:rPr>
        <w:t xml:space="preserve"> When measuring large angles, </w:t>
      </w:r>
      <w:r w:rsidRPr="45033A89" w:rsidR="07939C74">
        <w:rPr>
          <w:rFonts w:ascii="Aptos" w:hAnsi="Aptos" w:eastAsia="Aptos" w:cs="Aptos"/>
          <w:b w:val="1"/>
          <w:bCs w:val="1"/>
          <w:noProof w:val="0"/>
          <w:color w:val="000000" w:themeColor="text1" w:themeTint="FF" w:themeShade="FF"/>
          <w:sz w:val="24"/>
          <w:szCs w:val="24"/>
          <w:lang w:val="en-US"/>
        </w:rPr>
        <w:t>do not</w:t>
      </w:r>
      <w:r w:rsidRPr="45033A89" w:rsidR="07939C74">
        <w:rPr>
          <w:rFonts w:ascii="Aptos" w:hAnsi="Aptos" w:eastAsia="Aptos" w:cs="Aptos"/>
          <w:noProof w:val="0"/>
          <w:color w:val="000000" w:themeColor="text1" w:themeTint="FF" w:themeShade="FF"/>
          <w:sz w:val="24"/>
          <w:szCs w:val="24"/>
          <w:lang w:val="en-US"/>
        </w:rPr>
        <w:t xml:space="preserve"> stack prisms with bases in the same direction (e.g., holding a $40\Delta$ and $5\Delta$ together). They do not add arithmetically due to geometric factors (e.g., $40\Delta + 5\Delta \approx 58\Delta$).</w:t>
      </w:r>
    </w:p>
    <w:p xmlns:wp14="http://schemas.microsoft.com/office/word/2010/wordml" w:rsidP="45033A89" wp14:paraId="5E860B42" wp14:textId="30CC2E6D">
      <w:pPr>
        <w:spacing w:before="240" w:beforeAutospacing="off" w:after="240" w:afterAutospacing="off"/>
      </w:pPr>
      <w:r w:rsidRPr="45033A89" w:rsidR="07939C74">
        <w:rPr>
          <w:rFonts w:ascii="Aptos" w:hAnsi="Aptos" w:eastAsia="Aptos" w:cs="Aptos"/>
          <w:b w:val="1"/>
          <w:bCs w:val="1"/>
          <w:noProof w:val="0"/>
          <w:color w:val="000000" w:themeColor="text1" w:themeTint="FF" w:themeShade="FF"/>
          <w:sz w:val="24"/>
          <w:szCs w:val="24"/>
          <w:lang w:val="en-US"/>
        </w:rPr>
        <w:t>2. Assessing Recovery in Heterophoria</w:t>
      </w:r>
      <w:r w:rsidRPr="45033A89" w:rsidR="07939C74">
        <w:rPr>
          <w:rFonts w:ascii="Aptos" w:hAnsi="Aptos" w:eastAsia="Aptos" w:cs="Aptos"/>
          <w:noProof w:val="0"/>
          <w:color w:val="000000" w:themeColor="text1" w:themeTint="FF" w:themeShade="FF"/>
          <w:sz w:val="24"/>
          <w:szCs w:val="24"/>
          <w:lang w:val="en-US"/>
        </w:rPr>
        <w:t xml:space="preserve"> The mere presence of a phoria is less clinically significant than the patient's ability to control it. The </w:t>
      </w:r>
      <w:r w:rsidRPr="45033A89" w:rsidR="07939C74">
        <w:rPr>
          <w:rFonts w:ascii="Aptos" w:hAnsi="Aptos" w:eastAsia="Aptos" w:cs="Aptos"/>
          <w:b w:val="1"/>
          <w:bCs w:val="1"/>
          <w:noProof w:val="0"/>
          <w:color w:val="000000" w:themeColor="text1" w:themeTint="FF" w:themeShade="FF"/>
          <w:sz w:val="24"/>
          <w:szCs w:val="24"/>
          <w:lang w:val="en-US"/>
        </w:rPr>
        <w:t>speed and quality of recovery</w:t>
      </w:r>
      <w:r w:rsidRPr="45033A89" w:rsidR="07939C74">
        <w:rPr>
          <w:rFonts w:ascii="Aptos" w:hAnsi="Aptos" w:eastAsia="Aptos" w:cs="Aptos"/>
          <w:noProof w:val="0"/>
          <w:color w:val="000000" w:themeColor="text1" w:themeTint="FF" w:themeShade="FF"/>
          <w:sz w:val="24"/>
          <w:szCs w:val="24"/>
          <w:lang w:val="en-US"/>
        </w:rPr>
        <w:t xml:space="preserve"> following dissociation are better predictors of symptoms than the size of the phoria itself.</w:t>
      </w:r>
    </w:p>
    <w:p xmlns:wp14="http://schemas.microsoft.com/office/word/2010/wordml" w:rsidP="45033A89" wp14:paraId="01F921C5" wp14:textId="0921A92C">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Grading System:</w:t>
      </w:r>
      <w:r w:rsidRPr="45033A89" w:rsidR="07939C74">
        <w:rPr>
          <w:rFonts w:ascii="Aptos" w:hAnsi="Aptos" w:eastAsia="Aptos" w:cs="Aptos"/>
          <w:noProof w:val="0"/>
          <w:color w:val="000000" w:themeColor="text1" w:themeTint="FF" w:themeShade="FF"/>
          <w:sz w:val="24"/>
          <w:szCs w:val="24"/>
          <w:lang w:val="en-US"/>
        </w:rPr>
        <w:t xml:space="preserve"> A standard grading system is used to quantify recovery:</w:t>
      </w:r>
    </w:p>
    <w:p xmlns:wp14="http://schemas.microsoft.com/office/word/2010/wordml" w:rsidP="45033A89" wp14:paraId="4F0939FF" wp14:textId="741316E0">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Grade 1:</w:t>
      </w:r>
      <w:r w:rsidRPr="45033A89" w:rsidR="07939C74">
        <w:rPr>
          <w:rFonts w:ascii="Aptos" w:hAnsi="Aptos" w:eastAsia="Aptos" w:cs="Aptos"/>
          <w:noProof w:val="0"/>
          <w:color w:val="000000" w:themeColor="text1" w:themeTint="FF" w:themeShade="FF"/>
          <w:sz w:val="24"/>
          <w:szCs w:val="24"/>
          <w:lang w:val="en-US"/>
        </w:rPr>
        <w:t xml:space="preserve"> Rapid and smooth recovery.</w:t>
      </w:r>
    </w:p>
    <w:p xmlns:wp14="http://schemas.microsoft.com/office/word/2010/wordml" w:rsidP="45033A89" wp14:paraId="6F5D108F" wp14:textId="5701D79B">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Grade 2:</w:t>
      </w:r>
      <w:r w:rsidRPr="45033A89" w:rsidR="07939C74">
        <w:rPr>
          <w:rFonts w:ascii="Aptos" w:hAnsi="Aptos" w:eastAsia="Aptos" w:cs="Aptos"/>
          <w:noProof w:val="0"/>
          <w:color w:val="000000" w:themeColor="text1" w:themeTint="FF" w:themeShade="FF"/>
          <w:sz w:val="24"/>
          <w:szCs w:val="24"/>
          <w:lang w:val="en-US"/>
        </w:rPr>
        <w:t xml:space="preserve"> Slightly slow/jerky recovery.</w:t>
      </w:r>
    </w:p>
    <w:p xmlns:wp14="http://schemas.microsoft.com/office/word/2010/wordml" w:rsidP="45033A89" wp14:paraId="1C1B43D8" wp14:textId="6FC9CC6E">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Grade 3:</w:t>
      </w:r>
      <w:r w:rsidRPr="45033A89" w:rsidR="07939C74">
        <w:rPr>
          <w:rFonts w:ascii="Aptos" w:hAnsi="Aptos" w:eastAsia="Aptos" w:cs="Aptos"/>
          <w:noProof w:val="0"/>
          <w:color w:val="000000" w:themeColor="text1" w:themeTint="FF" w:themeShade="FF"/>
          <w:sz w:val="24"/>
          <w:szCs w:val="24"/>
          <w:lang w:val="en-US"/>
        </w:rPr>
        <w:t xml:space="preserve"> Definitely slow/jerky but does not break down into a tropia.</w:t>
      </w:r>
    </w:p>
    <w:p xmlns:wp14="http://schemas.microsoft.com/office/word/2010/wordml" w:rsidP="45033A89" wp14:paraId="07C54FB6" wp14:textId="55EBEB6B">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Grade 4:</w:t>
      </w:r>
      <w:r w:rsidRPr="45033A89" w:rsidR="07939C74">
        <w:rPr>
          <w:rFonts w:ascii="Aptos" w:hAnsi="Aptos" w:eastAsia="Aptos" w:cs="Aptos"/>
          <w:noProof w:val="0"/>
          <w:color w:val="000000" w:themeColor="text1" w:themeTint="FF" w:themeShade="FF"/>
          <w:sz w:val="24"/>
          <w:szCs w:val="24"/>
          <w:lang w:val="en-US"/>
        </w:rPr>
        <w:t xml:space="preserve"> Slow/jerky; breaks down with repeat covering or only recovers after a blink.</w:t>
      </w:r>
    </w:p>
    <w:p xmlns:wp14="http://schemas.microsoft.com/office/word/2010/wordml" w:rsidP="45033A89" wp14:paraId="48786072" wp14:textId="09999EDA">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Grade 5:</w:t>
      </w:r>
      <w:r w:rsidRPr="45033A89" w:rsidR="07939C74">
        <w:rPr>
          <w:rFonts w:ascii="Aptos" w:hAnsi="Aptos" w:eastAsia="Aptos" w:cs="Aptos"/>
          <w:noProof w:val="0"/>
          <w:color w:val="000000" w:themeColor="text1" w:themeTint="FF" w:themeShade="FF"/>
          <w:sz w:val="24"/>
          <w:szCs w:val="24"/>
          <w:lang w:val="en-US"/>
        </w:rPr>
        <w:t xml:space="preserve"> Breaks down readily after 1–3 covers.</w:t>
      </w:r>
    </w:p>
    <w:p xmlns:wp14="http://schemas.microsoft.com/office/word/2010/wordml" w:rsidP="45033A89" wp14:paraId="6A97E99D" wp14:textId="60819F05">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Clinical Pearl:</w:t>
      </w:r>
      <w:r w:rsidRPr="45033A89" w:rsidR="07939C74">
        <w:rPr>
          <w:rFonts w:ascii="Aptos" w:hAnsi="Aptos" w:eastAsia="Aptos" w:cs="Aptos"/>
          <w:noProof w:val="0"/>
          <w:color w:val="000000" w:themeColor="text1" w:themeTint="FF" w:themeShade="FF"/>
          <w:sz w:val="24"/>
          <w:szCs w:val="24"/>
          <w:lang w:val="en-US"/>
        </w:rPr>
        <w:t xml:space="preserve"> If amblyopia is suspected, the cover should be held longer before removal, as the amblyopic eye takes longer to take up fixation.</w:t>
      </w:r>
    </w:p>
    <w:p xmlns:wp14="http://schemas.microsoft.com/office/word/2010/wordml" wp14:paraId="07EDA72E" wp14:textId="2597FE89"/>
    <w:p xmlns:wp14="http://schemas.microsoft.com/office/word/2010/wordml" w:rsidP="45033A89" wp14:paraId="072EC0EC" wp14:textId="35BC5D16">
      <w:pPr>
        <w:pStyle w:val="Heading3"/>
        <w:spacing w:before="281" w:beforeAutospacing="off" w:after="281" w:afterAutospacing="off"/>
      </w:pPr>
      <w:r w:rsidRPr="45033A89" w:rsidR="07939C74">
        <w:rPr>
          <w:rFonts w:ascii="Aptos" w:hAnsi="Aptos" w:eastAsia="Aptos" w:cs="Aptos"/>
          <w:b w:val="1"/>
          <w:bCs w:val="1"/>
          <w:noProof w:val="0"/>
          <w:color w:val="000000" w:themeColor="text1" w:themeTint="FF" w:themeShade="FF"/>
          <w:sz w:val="28"/>
          <w:szCs w:val="28"/>
          <w:lang w:val="en-US"/>
        </w:rPr>
        <w:t>II. Incomitant Deviations: Diagnosing Vertical Tropias</w:t>
      </w:r>
    </w:p>
    <w:p xmlns:wp14="http://schemas.microsoft.com/office/word/2010/wordml" w:rsidP="45033A89" wp14:paraId="169EE9C6" wp14:textId="648D1C68">
      <w:pPr>
        <w:spacing w:before="240" w:beforeAutospacing="off" w:after="240" w:afterAutospacing="off"/>
      </w:pPr>
      <w:r w:rsidRPr="45033A89" w:rsidR="07939C74">
        <w:rPr>
          <w:rFonts w:ascii="Aptos" w:hAnsi="Aptos" w:eastAsia="Aptos" w:cs="Aptos"/>
          <w:noProof w:val="0"/>
          <w:color w:val="000000" w:themeColor="text1" w:themeTint="FF" w:themeShade="FF"/>
          <w:sz w:val="24"/>
          <w:szCs w:val="24"/>
          <w:lang w:val="en-US"/>
        </w:rPr>
        <w:t>Incomitant deviations vary in size depending on the position of gaze or which eye is fixing. Vertical incomitancies are often caused by paresis of the cyclovertical muscles (obliques and vertical recti).</w:t>
      </w:r>
    </w:p>
    <w:p xmlns:wp14="http://schemas.microsoft.com/office/word/2010/wordml" w:rsidP="45033A89" wp14:paraId="5C111BCF" wp14:textId="45209C94">
      <w:pPr>
        <w:spacing w:before="240" w:beforeAutospacing="off" w:after="240" w:afterAutospacing="off"/>
      </w:pPr>
      <w:r w:rsidRPr="45033A89" w:rsidR="07939C74">
        <w:rPr>
          <w:rFonts w:ascii="Aptos" w:hAnsi="Aptos" w:eastAsia="Aptos" w:cs="Aptos"/>
          <w:b w:val="1"/>
          <w:bCs w:val="1"/>
          <w:noProof w:val="0"/>
          <w:color w:val="000000" w:themeColor="text1" w:themeTint="FF" w:themeShade="FF"/>
          <w:sz w:val="24"/>
          <w:szCs w:val="24"/>
          <w:lang w:val="en-US"/>
        </w:rPr>
        <w:t>1. Park’s Three-Step Method</w:t>
      </w:r>
      <w:r w:rsidRPr="45033A89" w:rsidR="07939C74">
        <w:rPr>
          <w:rFonts w:ascii="Aptos" w:hAnsi="Aptos" w:eastAsia="Aptos" w:cs="Aptos"/>
          <w:noProof w:val="0"/>
          <w:color w:val="000000" w:themeColor="text1" w:themeTint="FF" w:themeShade="FF"/>
          <w:sz w:val="24"/>
          <w:szCs w:val="24"/>
          <w:lang w:val="en-US"/>
        </w:rPr>
        <w:t xml:space="preserve"> This deductive process is the standard method for isolating a single paretic muscle in cases of acquired vertical diplopia.</w:t>
      </w:r>
    </w:p>
    <w:p xmlns:wp14="http://schemas.microsoft.com/office/word/2010/wordml" w:rsidP="45033A89" wp14:paraId="02503A24" wp14:textId="406E7318">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Step 1: Primary Position.</w:t>
      </w:r>
      <w:r w:rsidRPr="45033A89" w:rsidR="07939C74">
        <w:rPr>
          <w:rFonts w:ascii="Aptos" w:hAnsi="Aptos" w:eastAsia="Aptos" w:cs="Aptos"/>
          <w:noProof w:val="0"/>
          <w:color w:val="000000" w:themeColor="text1" w:themeTint="FF" w:themeShade="FF"/>
          <w:sz w:val="24"/>
          <w:szCs w:val="24"/>
          <w:lang w:val="en-US"/>
        </w:rPr>
        <w:t xml:space="preserve"> Determine which eye is hypertropic (higher).</w:t>
      </w:r>
    </w:p>
    <w:p xmlns:wp14="http://schemas.microsoft.com/office/word/2010/wordml" w:rsidP="45033A89" wp14:paraId="277AEB46" wp14:textId="2FBEB94A">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A right hypertropia (RHT) implies weakness in the depressors of the right eye (RIR, RSO) or the elevators of the left eye (LSR, LIO). This isolates 4 potential muscles.</w:t>
      </w:r>
    </w:p>
    <w:p xmlns:wp14="http://schemas.microsoft.com/office/word/2010/wordml" w:rsidP="45033A89" wp14:paraId="3C436AFB" wp14:textId="4900EA97">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Step 2: Horizontal Gaze.</w:t>
      </w:r>
      <w:r w:rsidRPr="45033A89" w:rsidR="07939C74">
        <w:rPr>
          <w:rFonts w:ascii="Aptos" w:hAnsi="Aptos" w:eastAsia="Aptos" w:cs="Aptos"/>
          <w:noProof w:val="0"/>
          <w:color w:val="000000" w:themeColor="text1" w:themeTint="FF" w:themeShade="FF"/>
          <w:sz w:val="24"/>
          <w:szCs w:val="24"/>
          <w:lang w:val="en-US"/>
        </w:rPr>
        <w:t xml:space="preserve"> Determine if the deviation is greater in left gaze or right gaze.</w:t>
      </w:r>
    </w:p>
    <w:p xmlns:wp14="http://schemas.microsoft.com/office/word/2010/wordml" w:rsidP="45033A89" wp14:paraId="308F29B7" wp14:textId="3879FEA8">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Vertical muscles have their greatest vertical action when the eye is abducted or adducted. For example, the Recti act vertically in abduction, while Obliques act vertically in adduction. This step narrows the suspects from 4 to 2 muscles.</w:t>
      </w:r>
    </w:p>
    <w:p xmlns:wp14="http://schemas.microsoft.com/office/word/2010/wordml" w:rsidP="45033A89" wp14:paraId="6D4392EE" wp14:textId="279822F3">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b w:val="1"/>
          <w:bCs w:val="1"/>
          <w:noProof w:val="0"/>
          <w:color w:val="000000" w:themeColor="text1" w:themeTint="FF" w:themeShade="FF"/>
          <w:sz w:val="24"/>
          <w:szCs w:val="24"/>
          <w:lang w:val="en-US"/>
        </w:rPr>
        <w:t>Step 3: Head Tilt (Bielschowsky Head-Tilt Test).</w:t>
      </w:r>
      <w:r w:rsidRPr="45033A89" w:rsidR="07939C74">
        <w:rPr>
          <w:rFonts w:ascii="Aptos" w:hAnsi="Aptos" w:eastAsia="Aptos" w:cs="Aptos"/>
          <w:noProof w:val="0"/>
          <w:color w:val="000000" w:themeColor="text1" w:themeTint="FF" w:themeShade="FF"/>
          <w:sz w:val="24"/>
          <w:szCs w:val="24"/>
          <w:lang w:val="en-US"/>
        </w:rPr>
        <w:t xml:space="preserve"> Determine if the deviation increases upon tilting the head to the right or left shoulder.</w:t>
      </w:r>
    </w:p>
    <w:p xmlns:wp14="http://schemas.microsoft.com/office/word/2010/wordml" w:rsidP="45033A89" wp14:paraId="523C537B" wp14:textId="19EF4482">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i w:val="1"/>
          <w:iCs w:val="1"/>
          <w:noProof w:val="0"/>
          <w:color w:val="000000" w:themeColor="text1" w:themeTint="FF" w:themeShade="FF"/>
          <w:sz w:val="24"/>
          <w:szCs w:val="24"/>
          <w:lang w:val="en-US"/>
        </w:rPr>
        <w:t>Mechanism:</w:t>
      </w:r>
      <w:r w:rsidRPr="45033A89" w:rsidR="07939C74">
        <w:rPr>
          <w:rFonts w:ascii="Aptos" w:hAnsi="Aptos" w:eastAsia="Aptos" w:cs="Aptos"/>
          <w:noProof w:val="0"/>
          <w:color w:val="000000" w:themeColor="text1" w:themeTint="FF" w:themeShade="FF"/>
          <w:sz w:val="24"/>
          <w:szCs w:val="24"/>
          <w:lang w:val="en-US"/>
        </w:rPr>
        <w:t xml:space="preserve"> Tilting the head stimulates the otoliths, causing reflex cyclotorsion to keep the vertical meridian of the eye upright (e.g., right tilt causes right eye intorsion and left eye extorsion). If an intorter (like the Superior Oblique) is paretic, it cannot counteract the elevating action of its antagonist intorter (Superior Rectus), causing the eye to shoot up.</w:t>
      </w:r>
    </w:p>
    <w:p xmlns:wp14="http://schemas.microsoft.com/office/word/2010/wordml" w:rsidP="45033A89" wp14:paraId="454BD9CA" wp14:textId="6895EC7E">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This step isolates the single paretic muscle.</w:t>
      </w:r>
    </w:p>
    <w:p xmlns:wp14="http://schemas.microsoft.com/office/word/2010/wordml" w:rsidP="45033A89" wp14:paraId="0A76A344" wp14:textId="26F9C0A8">
      <w:pPr>
        <w:spacing w:before="240" w:beforeAutospacing="off" w:after="240" w:afterAutospacing="off"/>
      </w:pPr>
      <w:r w:rsidRPr="45033A89" w:rsidR="07939C74">
        <w:rPr>
          <w:rFonts w:ascii="Aptos" w:hAnsi="Aptos" w:eastAsia="Aptos" w:cs="Aptos"/>
          <w:b w:val="1"/>
          <w:bCs w:val="1"/>
          <w:noProof w:val="0"/>
          <w:color w:val="000000" w:themeColor="text1" w:themeTint="FF" w:themeShade="FF"/>
          <w:sz w:val="24"/>
          <w:szCs w:val="24"/>
          <w:lang w:val="en-US"/>
        </w:rPr>
        <w:t>2. Limitations of the Three-Step Test</w:t>
      </w:r>
      <w:r w:rsidRPr="45033A89" w:rsidR="07939C74">
        <w:rPr>
          <w:rFonts w:ascii="Aptos" w:hAnsi="Aptos" w:eastAsia="Aptos" w:cs="Aptos"/>
          <w:noProof w:val="0"/>
          <w:color w:val="000000" w:themeColor="text1" w:themeTint="FF" w:themeShade="FF"/>
          <w:sz w:val="24"/>
          <w:szCs w:val="24"/>
          <w:lang w:val="en-US"/>
        </w:rPr>
        <w:t xml:space="preserve"> The test results may be invalid or misleading if:</w:t>
      </w:r>
    </w:p>
    <w:p xmlns:wp14="http://schemas.microsoft.com/office/word/2010/wordml" w:rsidP="45033A89" wp14:paraId="0A5AF6C1" wp14:textId="219822A1">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More than one muscle is involved.</w:t>
      </w:r>
    </w:p>
    <w:p xmlns:wp14="http://schemas.microsoft.com/office/word/2010/wordml" w:rsidP="45033A89" wp14:paraId="453741C3" wp14:textId="6C13EF27">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The etiology is restrictive/mechanical rather than paretic (e.g., thyroid eye disease, blowout fracture).</w:t>
      </w:r>
    </w:p>
    <w:p xmlns:wp14="http://schemas.microsoft.com/office/word/2010/wordml" w:rsidP="45033A89" wp14:paraId="558E9FB0" wp14:textId="11BF078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There is a history of prior strabismus surgery.</w:t>
      </w:r>
    </w:p>
    <w:p xmlns:wp14="http://schemas.microsoft.com/office/word/2010/wordml" w:rsidP="45033A89" wp14:paraId="455AFFF2" wp14:textId="54FF7736">
      <w:pPr>
        <w:spacing w:before="240" w:beforeAutospacing="off" w:after="240" w:afterAutospacing="off"/>
      </w:pPr>
      <w:r w:rsidRPr="45033A89" w:rsidR="07939C74">
        <w:rPr>
          <w:rFonts w:ascii="Aptos" w:hAnsi="Aptos" w:eastAsia="Aptos" w:cs="Aptos"/>
          <w:b w:val="1"/>
          <w:bCs w:val="1"/>
          <w:noProof w:val="0"/>
          <w:color w:val="000000" w:themeColor="text1" w:themeTint="FF" w:themeShade="FF"/>
          <w:sz w:val="24"/>
          <w:szCs w:val="24"/>
          <w:lang w:val="en-US"/>
        </w:rPr>
        <w:t>3. Scobee’s Three-Step Method</w:t>
      </w:r>
      <w:r w:rsidRPr="45033A89" w:rsidR="07939C74">
        <w:rPr>
          <w:rFonts w:ascii="Aptos" w:hAnsi="Aptos" w:eastAsia="Aptos" w:cs="Aptos"/>
          <w:noProof w:val="0"/>
          <w:color w:val="000000" w:themeColor="text1" w:themeTint="FF" w:themeShade="FF"/>
          <w:sz w:val="24"/>
          <w:szCs w:val="24"/>
          <w:lang w:val="en-US"/>
        </w:rPr>
        <w:t xml:space="preserve"> An alternative method (Scobee’s) exists, which is sometimes preferred for analyzing heterophoric incomitancies. It asks:</w:t>
      </w:r>
    </w:p>
    <w:p xmlns:wp14="http://schemas.microsoft.com/office/word/2010/wordml" w:rsidP="45033A89" wp14:paraId="1AFF815E" wp14:textId="53AA2F77">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Is the deviation R/L or L/R?</w:t>
      </w:r>
    </w:p>
    <w:p xmlns:wp14="http://schemas.microsoft.com/office/word/2010/wordml" w:rsidP="45033A89" wp14:paraId="6AAA8761" wp14:textId="25265232">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Is the vertical deviation greater at distance (Primary) or Near (Adducted)?</w:t>
      </w:r>
    </w:p>
    <w:p xmlns:wp14="http://schemas.microsoft.com/office/word/2010/wordml" w:rsidP="45033A89" wp14:paraId="20D014C8" wp14:textId="7EE75E0C">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5033A89" w:rsidR="07939C74">
        <w:rPr>
          <w:rFonts w:ascii="Aptos" w:hAnsi="Aptos" w:eastAsia="Aptos" w:cs="Aptos"/>
          <w:noProof w:val="0"/>
          <w:color w:val="000000" w:themeColor="text1" w:themeTint="FF" w:themeShade="FF"/>
          <w:sz w:val="24"/>
          <w:szCs w:val="24"/>
          <w:lang w:val="en-US"/>
        </w:rPr>
        <w:t>Which eye is fixing when there is the greatest vertical deviation?</w:t>
      </w:r>
    </w:p>
    <w:p xmlns:wp14="http://schemas.microsoft.com/office/word/2010/wordml" wp14:paraId="2C078E63" wp14:textId="54F419E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2624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a8b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ecd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c722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605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832BF9"/>
    <w:rsid w:val="07939C74"/>
    <w:rsid w:val="3F832BF9"/>
    <w:rsid w:val="45033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5E1E2"/>
  <w15:chartTrackingRefBased/>
  <w15:docId w15:val="{6DA6A407-F5B2-4695-A116-598116CB4D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5033A8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5033A8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0e9bf82dfee4c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2026-03-02T03:03:49.9364766Z</dcterms:created>
  <dcterms:modified xsi:type="dcterms:W3CDTF">2026-03-02T03:04:06.1760385Z</dcterms:modified>
  <dc:creator>Naganathan Muthuramalingam</dc:creator>
  <lastModifiedBy>Naganathan Muthuramalingam</lastModifiedBy>
</coreProperties>
</file>