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AF4FFD" wp14:paraId="25EF468D" wp14:textId="1638B31F">
      <w:pPr>
        <w:pStyle w:val="Heading3"/>
        <w:spacing w:before="281" w:beforeAutospacing="off" w:after="281" w:afterAutospacing="off"/>
      </w:pPr>
      <w:r w:rsidRPr="1AAF4FFD" w:rsidR="25E3DF33">
        <w:rPr>
          <w:rFonts w:ascii="Aptos" w:hAnsi="Aptos" w:eastAsia="Aptos" w:cs="Aptos"/>
          <w:b w:val="1"/>
          <w:bCs w:val="1"/>
          <w:noProof w:val="0"/>
          <w:color w:val="000000" w:themeColor="text1" w:themeTint="FF" w:themeShade="FF"/>
          <w:sz w:val="28"/>
          <w:szCs w:val="28"/>
          <w:lang w:val="en-US"/>
        </w:rPr>
        <w:t>Course Module 3: Objective &amp; Electrophysiological Testing</w:t>
      </w:r>
    </w:p>
    <w:p xmlns:wp14="http://schemas.microsoft.com/office/word/2010/wordml" w:rsidP="1AAF4FFD" wp14:paraId="6761B46F" wp14:textId="425EE64A">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Week 7 Topic:</w:t>
      </w:r>
      <w:r w:rsidRPr="1AAF4FFD" w:rsidR="25E3DF33">
        <w:rPr>
          <w:rFonts w:ascii="Aptos" w:hAnsi="Aptos" w:eastAsia="Aptos" w:cs="Aptos"/>
          <w:noProof w:val="0"/>
          <w:color w:val="000000" w:themeColor="text1" w:themeTint="FF" w:themeShade="FF"/>
          <w:sz w:val="24"/>
          <w:szCs w:val="24"/>
          <w:lang w:val="en-US"/>
        </w:rPr>
        <w:t xml:space="preserve"> Electrophysiology in Binocular Vision (VEP, ERG, EOG, OKN)</w:t>
      </w:r>
    </w:p>
    <w:p xmlns:wp14="http://schemas.microsoft.com/office/word/2010/wordml" wp14:paraId="226C63E3" wp14:textId="0301DAB7"/>
    <w:p xmlns:wp14="http://schemas.microsoft.com/office/word/2010/wordml" w:rsidP="1AAF4FFD" wp14:paraId="4D0EBF84" wp14:textId="7CB9B8FD">
      <w:pPr>
        <w:pStyle w:val="Heading3"/>
        <w:spacing w:before="281" w:beforeAutospacing="off" w:after="281" w:afterAutospacing="off"/>
      </w:pPr>
      <w:r w:rsidRPr="1AAF4FFD" w:rsidR="25E3DF33">
        <w:rPr>
          <w:rFonts w:ascii="Aptos" w:hAnsi="Aptos" w:eastAsia="Aptos" w:cs="Aptos"/>
          <w:b w:val="1"/>
          <w:bCs w:val="1"/>
          <w:noProof w:val="0"/>
          <w:color w:val="000000" w:themeColor="text1" w:themeTint="FF" w:themeShade="FF"/>
          <w:sz w:val="28"/>
          <w:szCs w:val="28"/>
          <w:lang w:val="en-US"/>
        </w:rPr>
        <w:t>I. Overview of Electro-Diagnostic Tests</w:t>
      </w:r>
    </w:p>
    <w:p xmlns:wp14="http://schemas.microsoft.com/office/word/2010/wordml" w:rsidP="1AAF4FFD" wp14:paraId="4F58CAEA" wp14:textId="32C65F2E">
      <w:pPr>
        <w:spacing w:before="240" w:beforeAutospacing="off" w:after="240" w:afterAutospacing="off"/>
      </w:pPr>
      <w:r w:rsidRPr="1AAF4FFD" w:rsidR="25E3DF33">
        <w:rPr>
          <w:rFonts w:ascii="Aptos" w:hAnsi="Aptos" w:eastAsia="Aptos" w:cs="Aptos"/>
          <w:noProof w:val="0"/>
          <w:color w:val="000000" w:themeColor="text1" w:themeTint="FF" w:themeShade="FF"/>
          <w:sz w:val="24"/>
          <w:szCs w:val="24"/>
          <w:lang w:val="en-US"/>
        </w:rPr>
        <w:t>Electro-diagnostic tests provide objective measurements of the visual system's function, from the retina to the visual cortex. They are essential when subjective responses are unreliable (e.g., infants, malingerers) or to differentiate between retinal and post-retinal (neural) causes of visual loss.</w:t>
      </w:r>
    </w:p>
    <w:p xmlns:wp14="http://schemas.microsoft.com/office/word/2010/wordml" wp14:paraId="3A044D6B" wp14:textId="6BF6EB6B"/>
    <w:p xmlns:wp14="http://schemas.microsoft.com/office/word/2010/wordml" w:rsidP="1AAF4FFD" wp14:paraId="39C054C1" wp14:textId="127514EC">
      <w:pPr>
        <w:pStyle w:val="Heading3"/>
        <w:spacing w:before="281" w:beforeAutospacing="off" w:after="281" w:afterAutospacing="off"/>
      </w:pPr>
      <w:r w:rsidRPr="1AAF4FFD" w:rsidR="25E3DF33">
        <w:rPr>
          <w:rFonts w:ascii="Aptos" w:hAnsi="Aptos" w:eastAsia="Aptos" w:cs="Aptos"/>
          <w:b w:val="1"/>
          <w:bCs w:val="1"/>
          <w:noProof w:val="0"/>
          <w:color w:val="000000" w:themeColor="text1" w:themeTint="FF" w:themeShade="FF"/>
          <w:sz w:val="28"/>
          <w:szCs w:val="28"/>
          <w:lang w:val="en-US"/>
        </w:rPr>
        <w:t>II. Visual Evoked Potentials (VEP)</w:t>
      </w:r>
    </w:p>
    <w:p xmlns:wp14="http://schemas.microsoft.com/office/word/2010/wordml" w:rsidP="1AAF4FFD" wp14:paraId="3CA1AF6F" wp14:textId="71692F68">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1. Principles</w:t>
      </w:r>
    </w:p>
    <w:p xmlns:wp14="http://schemas.microsoft.com/office/word/2010/wordml" w:rsidP="1AAF4FFD" wp14:paraId="789300BC" wp14:textId="7DB8175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Definition:</w:t>
      </w:r>
      <w:r w:rsidRPr="1AAF4FFD" w:rsidR="25E3DF33">
        <w:rPr>
          <w:rFonts w:ascii="Aptos" w:hAnsi="Aptos" w:eastAsia="Aptos" w:cs="Aptos"/>
          <w:noProof w:val="0"/>
          <w:color w:val="000000" w:themeColor="text1" w:themeTint="FF" w:themeShade="FF"/>
          <w:sz w:val="24"/>
          <w:szCs w:val="24"/>
          <w:lang w:val="en-US"/>
        </w:rPr>
        <w:t xml:space="preserve"> The VEP records the electrical potentials generated in the visual cortex in response to visual stimulation of the retina. It measures the integrity of the entire visual pathway from the eye to the brain.</w:t>
      </w:r>
    </w:p>
    <w:p xmlns:wp14="http://schemas.microsoft.com/office/word/2010/wordml" w:rsidP="1AAF4FFD" wp14:paraId="745589D6" wp14:textId="02606B60">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Stimuli:</w:t>
      </w:r>
      <w:r w:rsidRPr="1AAF4FFD" w:rsidR="25E3DF33">
        <w:rPr>
          <w:rFonts w:ascii="Aptos" w:hAnsi="Aptos" w:eastAsia="Aptos" w:cs="Aptos"/>
          <w:noProof w:val="0"/>
          <w:color w:val="000000" w:themeColor="text1" w:themeTint="FF" w:themeShade="FF"/>
          <w:sz w:val="24"/>
          <w:szCs w:val="24"/>
          <w:lang w:val="en-US"/>
        </w:rPr>
        <w:t xml:space="preserve"> Can be unstructured (flash VEP) or structured (pattern VEP, usually checkerboard).</w:t>
      </w:r>
    </w:p>
    <w:p xmlns:wp14="http://schemas.microsoft.com/office/word/2010/wordml" w:rsidP="1AAF4FFD" wp14:paraId="051AB5DB" wp14:textId="72A1D740">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2. Clinical Application</w:t>
      </w:r>
    </w:p>
    <w:p xmlns:wp14="http://schemas.microsoft.com/office/word/2010/wordml" w:rsidP="1AAF4FFD" wp14:paraId="772DFEF8" wp14:textId="687EB06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Non-Verbal/Difficult Patients:</w:t>
      </w:r>
      <w:r w:rsidRPr="1AAF4FFD" w:rsidR="25E3DF33">
        <w:rPr>
          <w:rFonts w:ascii="Aptos" w:hAnsi="Aptos" w:eastAsia="Aptos" w:cs="Aptos"/>
          <w:noProof w:val="0"/>
          <w:color w:val="000000" w:themeColor="text1" w:themeTint="FF" w:themeShade="FF"/>
          <w:sz w:val="24"/>
          <w:szCs w:val="24"/>
          <w:lang w:val="en-US"/>
        </w:rPr>
        <w:t xml:space="preserve"> The VEP is a primary tool for measuring visual acuity in non-verbal children or infants. It allows the clinician to estimate visual potential when subjective charts (Snellen/LogMAR) cannot be used.</w:t>
      </w:r>
    </w:p>
    <w:p xmlns:wp14="http://schemas.microsoft.com/office/word/2010/wordml" w:rsidP="1AAF4FFD" wp14:paraId="5C10BCA6" wp14:textId="2E140F9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Amblyopia:</w:t>
      </w:r>
      <w:r w:rsidRPr="1AAF4FFD" w:rsidR="25E3DF33">
        <w:rPr>
          <w:rFonts w:ascii="Aptos" w:hAnsi="Aptos" w:eastAsia="Aptos" w:cs="Aptos"/>
          <w:noProof w:val="0"/>
          <w:color w:val="000000" w:themeColor="text1" w:themeTint="FF" w:themeShade="FF"/>
          <w:sz w:val="24"/>
          <w:szCs w:val="24"/>
          <w:lang w:val="en-US"/>
        </w:rPr>
        <w:t xml:space="preserve"> It helps confirm the physiological integrity of the pathway in suspected amblyopia or to rule out organic causes of reduced vision.</w:t>
      </w:r>
    </w:p>
    <w:p xmlns:wp14="http://schemas.microsoft.com/office/word/2010/wordml" w:rsidP="1AAF4FFD" wp14:paraId="14A5529A" wp14:textId="5A066A2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Nystagmus Investigation:</w:t>
      </w:r>
      <w:r w:rsidRPr="1AAF4FFD" w:rsidR="25E3DF33">
        <w:rPr>
          <w:rFonts w:ascii="Aptos" w:hAnsi="Aptos" w:eastAsia="Aptos" w:cs="Aptos"/>
          <w:noProof w:val="0"/>
          <w:color w:val="000000" w:themeColor="text1" w:themeTint="FF" w:themeShade="FF"/>
          <w:sz w:val="24"/>
          <w:szCs w:val="24"/>
          <w:lang w:val="en-US"/>
        </w:rPr>
        <w:t xml:space="preserve"> Specialist investigative techniques, specifically pattern and flash VEP, are required for the thorough evaluation of Congenital Nystagmus (CN) to detect any underlying sensory defects.</w:t>
      </w:r>
    </w:p>
    <w:p xmlns:wp14="http://schemas.microsoft.com/office/word/2010/wordml" wp14:paraId="42F1EEFB" wp14:textId="5887DC3E"/>
    <w:p xmlns:wp14="http://schemas.microsoft.com/office/word/2010/wordml" w:rsidP="1AAF4FFD" wp14:paraId="1AE33076" wp14:textId="30B6232D">
      <w:pPr>
        <w:pStyle w:val="Heading3"/>
        <w:spacing w:before="281" w:beforeAutospacing="off" w:after="281" w:afterAutospacing="off"/>
      </w:pPr>
      <w:r w:rsidRPr="1AAF4FFD" w:rsidR="25E3DF33">
        <w:rPr>
          <w:rFonts w:ascii="Aptos" w:hAnsi="Aptos" w:eastAsia="Aptos" w:cs="Aptos"/>
          <w:b w:val="1"/>
          <w:bCs w:val="1"/>
          <w:noProof w:val="0"/>
          <w:color w:val="000000" w:themeColor="text1" w:themeTint="FF" w:themeShade="FF"/>
          <w:sz w:val="28"/>
          <w:szCs w:val="28"/>
          <w:lang w:val="en-US"/>
        </w:rPr>
        <w:t>III. Electroretinography (ERG)</w:t>
      </w:r>
    </w:p>
    <w:p xmlns:wp14="http://schemas.microsoft.com/office/word/2010/wordml" w:rsidP="1AAF4FFD" wp14:paraId="7B890F54" wp14:textId="7A3F785F">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1. Principles</w:t>
      </w:r>
    </w:p>
    <w:p xmlns:wp14="http://schemas.microsoft.com/office/word/2010/wordml" w:rsidP="1AAF4FFD" wp14:paraId="6D99D5FE" wp14:textId="527D7F8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Function:</w:t>
      </w:r>
      <w:r w:rsidRPr="1AAF4FFD" w:rsidR="25E3DF33">
        <w:rPr>
          <w:rFonts w:ascii="Aptos" w:hAnsi="Aptos" w:eastAsia="Aptos" w:cs="Aptos"/>
          <w:noProof w:val="0"/>
          <w:color w:val="000000" w:themeColor="text1" w:themeTint="FF" w:themeShade="FF"/>
          <w:sz w:val="24"/>
          <w:szCs w:val="24"/>
          <w:lang w:val="en-US"/>
        </w:rPr>
        <w:t xml:space="preserve"> The ERG measures the action potential produced by the retina when stimulated by light. It represents the combined electrical response of the photoreceptors (rods and cones) and inner retinal layers.</w:t>
      </w:r>
    </w:p>
    <w:p xmlns:wp14="http://schemas.microsoft.com/office/word/2010/wordml" w:rsidP="1AAF4FFD" wp14:paraId="54A0CDBA" wp14:textId="408EF067">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Waveform Components:</w:t>
      </w:r>
    </w:p>
    <w:p xmlns:wp14="http://schemas.microsoft.com/office/word/2010/wordml" w:rsidP="1AAF4FFD" wp14:paraId="55933F2B" wp14:textId="5E1C6DFD">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a-wave:</w:t>
      </w:r>
      <w:r w:rsidRPr="1AAF4FFD" w:rsidR="25E3DF33">
        <w:rPr>
          <w:rFonts w:ascii="Aptos" w:hAnsi="Aptos" w:eastAsia="Aptos" w:cs="Aptos"/>
          <w:noProof w:val="0"/>
          <w:color w:val="000000" w:themeColor="text1" w:themeTint="FF" w:themeShade="FF"/>
          <w:sz w:val="24"/>
          <w:szCs w:val="24"/>
          <w:lang w:val="en-US"/>
        </w:rPr>
        <w:t xml:space="preserve"> A negative deflection originating from the photoreceptors (rods and cones).</w:t>
      </w:r>
    </w:p>
    <w:p xmlns:wp14="http://schemas.microsoft.com/office/word/2010/wordml" w:rsidP="1AAF4FFD" wp14:paraId="19CCD139" wp14:textId="6AE8CC3D">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b-wave:</w:t>
      </w:r>
      <w:r w:rsidRPr="1AAF4FFD" w:rsidR="25E3DF33">
        <w:rPr>
          <w:rFonts w:ascii="Aptos" w:hAnsi="Aptos" w:eastAsia="Aptos" w:cs="Aptos"/>
          <w:noProof w:val="0"/>
          <w:color w:val="000000" w:themeColor="text1" w:themeTint="FF" w:themeShade="FF"/>
          <w:sz w:val="24"/>
          <w:szCs w:val="24"/>
          <w:lang w:val="en-US"/>
        </w:rPr>
        <w:t xml:space="preserve"> A positive deflection originating from the Muller cells and bipolar cells.</w:t>
      </w:r>
    </w:p>
    <w:p xmlns:wp14="http://schemas.microsoft.com/office/word/2010/wordml" w:rsidP="1AAF4FFD" wp14:paraId="7496B367" wp14:textId="3137C341">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Oscillatory potentials:</w:t>
      </w:r>
      <w:r w:rsidRPr="1AAF4FFD" w:rsidR="25E3DF33">
        <w:rPr>
          <w:rFonts w:ascii="Aptos" w:hAnsi="Aptos" w:eastAsia="Aptos" w:cs="Aptos"/>
          <w:noProof w:val="0"/>
          <w:color w:val="000000" w:themeColor="text1" w:themeTint="FF" w:themeShade="FF"/>
          <w:sz w:val="24"/>
          <w:szCs w:val="24"/>
          <w:lang w:val="en-US"/>
        </w:rPr>
        <w:t xml:space="preserve"> Small wavelets superimposed on the b-wave.</w:t>
      </w:r>
    </w:p>
    <w:p xmlns:wp14="http://schemas.microsoft.com/office/word/2010/wordml" w:rsidP="1AAF4FFD" wp14:paraId="26890E8C" wp14:textId="70C6BDA3">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2. Types of ERG</w:t>
      </w:r>
    </w:p>
    <w:p xmlns:wp14="http://schemas.microsoft.com/office/word/2010/wordml" w:rsidP="1AAF4FFD" wp14:paraId="19335B77" wp14:textId="7139A852">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Flash ERG:</w:t>
      </w:r>
      <w:r w:rsidRPr="1AAF4FFD" w:rsidR="25E3DF33">
        <w:rPr>
          <w:rFonts w:ascii="Aptos" w:hAnsi="Aptos" w:eastAsia="Aptos" w:cs="Aptos"/>
          <w:noProof w:val="0"/>
          <w:color w:val="000000" w:themeColor="text1" w:themeTint="FF" w:themeShade="FF"/>
          <w:sz w:val="24"/>
          <w:szCs w:val="24"/>
          <w:lang w:val="en-US"/>
        </w:rPr>
        <w:t xml:space="preserve"> Stimulates the whole retina. Useful in conditions like Retinitis Pigmentosa or opaque media where the fundus cannot be viewed.</w:t>
      </w:r>
    </w:p>
    <w:p xmlns:wp14="http://schemas.microsoft.com/office/word/2010/wordml" w:rsidP="1AAF4FFD" wp14:paraId="621738F5" wp14:textId="3878138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Pattern ERG:</w:t>
      </w:r>
      <w:r w:rsidRPr="1AAF4FFD" w:rsidR="25E3DF33">
        <w:rPr>
          <w:rFonts w:ascii="Aptos" w:hAnsi="Aptos" w:eastAsia="Aptos" w:cs="Aptos"/>
          <w:noProof w:val="0"/>
          <w:color w:val="000000" w:themeColor="text1" w:themeTint="FF" w:themeShade="FF"/>
          <w:sz w:val="24"/>
          <w:szCs w:val="24"/>
          <w:lang w:val="en-US"/>
        </w:rPr>
        <w:t xml:space="preserve"> Uses a reversing checkerboard; sensitive to ganglion cell dysfunction (e.g., glaucoma).</w:t>
      </w:r>
    </w:p>
    <w:p xmlns:wp14="http://schemas.microsoft.com/office/word/2010/wordml" w:rsidP="1AAF4FFD" wp14:paraId="402C179D" wp14:textId="07F60630">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Multifocal ERG:</w:t>
      </w:r>
      <w:r w:rsidRPr="1AAF4FFD" w:rsidR="25E3DF33">
        <w:rPr>
          <w:rFonts w:ascii="Aptos" w:hAnsi="Aptos" w:eastAsia="Aptos" w:cs="Aptos"/>
          <w:noProof w:val="0"/>
          <w:color w:val="000000" w:themeColor="text1" w:themeTint="FF" w:themeShade="FF"/>
          <w:sz w:val="24"/>
          <w:szCs w:val="24"/>
          <w:lang w:val="en-US"/>
        </w:rPr>
        <w:t xml:space="preserve"> Maps retinal sensitivity across different locations (like a visual field map), useful for localized lesions.</w:t>
      </w:r>
    </w:p>
    <w:p xmlns:wp14="http://schemas.microsoft.com/office/word/2010/wordml" w:rsidP="1AAF4FFD" wp14:paraId="7678779E" wp14:textId="5FCEFB1A">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3. Clinical Application</w:t>
      </w:r>
    </w:p>
    <w:p xmlns:wp14="http://schemas.microsoft.com/office/word/2010/wordml" w:rsidP="1AAF4FFD" wp14:paraId="0A02581C" wp14:textId="7389A02F">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noProof w:val="0"/>
          <w:color w:val="000000" w:themeColor="text1" w:themeTint="FF" w:themeShade="FF"/>
          <w:sz w:val="24"/>
          <w:szCs w:val="24"/>
          <w:lang w:val="en-US"/>
        </w:rPr>
        <w:t>Used to differentiate between retinal disease (e.g., achromatopsia, Leber's congenital amaurosis) and optic nerve disease or cortical visual impairment, particularly in infants with nystagmus.</w:t>
      </w:r>
    </w:p>
    <w:p xmlns:wp14="http://schemas.microsoft.com/office/word/2010/wordml" wp14:paraId="2519415C" wp14:textId="580D9251"/>
    <w:p xmlns:wp14="http://schemas.microsoft.com/office/word/2010/wordml" w:rsidP="1AAF4FFD" wp14:paraId="567271B8" wp14:textId="3E5D3171">
      <w:pPr>
        <w:pStyle w:val="Heading3"/>
        <w:spacing w:before="281" w:beforeAutospacing="off" w:after="281" w:afterAutospacing="off"/>
      </w:pPr>
      <w:r w:rsidRPr="1AAF4FFD" w:rsidR="25E3DF33">
        <w:rPr>
          <w:rFonts w:ascii="Aptos" w:hAnsi="Aptos" w:eastAsia="Aptos" w:cs="Aptos"/>
          <w:b w:val="1"/>
          <w:bCs w:val="1"/>
          <w:noProof w:val="0"/>
          <w:color w:val="000000" w:themeColor="text1" w:themeTint="FF" w:themeShade="FF"/>
          <w:sz w:val="28"/>
          <w:szCs w:val="28"/>
          <w:lang w:val="en-US"/>
        </w:rPr>
        <w:t>IV. Electro-oculography (EOG)</w:t>
      </w:r>
    </w:p>
    <w:p xmlns:wp14="http://schemas.microsoft.com/office/word/2010/wordml" w:rsidP="1AAF4FFD" wp14:paraId="609ACF59" wp14:textId="7A1F4B54">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1. Principles</w:t>
      </w:r>
    </w:p>
    <w:p xmlns:wp14="http://schemas.microsoft.com/office/word/2010/wordml" w:rsidP="1AAF4FFD" wp14:paraId="3B5A44AA" wp14:textId="4DCD93C3">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Standing Potential:</w:t>
      </w:r>
      <w:r w:rsidRPr="1AAF4FFD" w:rsidR="25E3DF33">
        <w:rPr>
          <w:rFonts w:ascii="Aptos" w:hAnsi="Aptos" w:eastAsia="Aptos" w:cs="Aptos"/>
          <w:noProof w:val="0"/>
          <w:color w:val="000000" w:themeColor="text1" w:themeTint="FF" w:themeShade="FF"/>
          <w:sz w:val="24"/>
          <w:szCs w:val="24"/>
          <w:lang w:val="en-US"/>
        </w:rPr>
        <w:t xml:space="preserve"> The eye acts as a dipole, with the cornea being electrically positive relative to the back of the eye (retina), which is electrically negative. The EOG measures this resting or "standing" potential.</w:t>
      </w:r>
    </w:p>
    <w:p xmlns:wp14="http://schemas.microsoft.com/office/word/2010/wordml" w:rsidP="1AAF4FFD" wp14:paraId="480F70A9" wp14:textId="28E4BB7B">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Mechanism:</w:t>
      </w:r>
      <w:r w:rsidRPr="1AAF4FFD" w:rsidR="25E3DF33">
        <w:rPr>
          <w:rFonts w:ascii="Aptos" w:hAnsi="Aptos" w:eastAsia="Aptos" w:cs="Aptos"/>
          <w:noProof w:val="0"/>
          <w:color w:val="000000" w:themeColor="text1" w:themeTint="FF" w:themeShade="FF"/>
          <w:sz w:val="24"/>
          <w:szCs w:val="24"/>
          <w:lang w:val="en-US"/>
        </w:rPr>
        <w:t xml:space="preserve"> It reflects the activity of the Retinal Pigment Epithelium (RPE) and its interaction with photoreceptors.</w:t>
      </w:r>
    </w:p>
    <w:p xmlns:wp14="http://schemas.microsoft.com/office/word/2010/wordml" w:rsidP="1AAF4FFD" wp14:paraId="6C52B471" wp14:textId="69CFB014">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2. The Test (Arden Index)</w:t>
      </w:r>
    </w:p>
    <w:p xmlns:wp14="http://schemas.microsoft.com/office/word/2010/wordml" w:rsidP="1AAF4FFD" wp14:paraId="67AFAA30" wp14:textId="3BDDBB16">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Procedure:</w:t>
      </w:r>
      <w:r w:rsidRPr="1AAF4FFD" w:rsidR="25E3DF33">
        <w:rPr>
          <w:rFonts w:ascii="Aptos" w:hAnsi="Aptos" w:eastAsia="Aptos" w:cs="Aptos"/>
          <w:noProof w:val="0"/>
          <w:color w:val="000000" w:themeColor="text1" w:themeTint="FF" w:themeShade="FF"/>
          <w:sz w:val="24"/>
          <w:szCs w:val="24"/>
          <w:lang w:val="en-US"/>
        </w:rPr>
        <w:t xml:space="preserve"> The test is performed in both light-adapted and dark-adapted states. The potential decreases in the dark (dark trough) and increases in the light (light peak).</w:t>
      </w:r>
    </w:p>
    <w:p xmlns:wp14="http://schemas.microsoft.com/office/word/2010/wordml" w:rsidP="1AAF4FFD" wp14:paraId="2E5ADC67" wp14:textId="440672C2">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Arden Index:</w:t>
      </w:r>
      <w:r w:rsidRPr="1AAF4FFD" w:rsidR="25E3DF33">
        <w:rPr>
          <w:rFonts w:ascii="Aptos" w:hAnsi="Aptos" w:eastAsia="Aptos" w:cs="Aptos"/>
          <w:noProof w:val="0"/>
          <w:color w:val="000000" w:themeColor="text1" w:themeTint="FF" w:themeShade="FF"/>
          <w:sz w:val="24"/>
          <w:szCs w:val="24"/>
          <w:lang w:val="en-US"/>
        </w:rPr>
        <w:t xml:space="preserve"> The ratio of the Light Peak to the Dark Trough.</w:t>
      </w:r>
    </w:p>
    <w:p xmlns:wp14="http://schemas.microsoft.com/office/word/2010/wordml" w:rsidP="1AAF4FFD" wp14:paraId="2E2B8C04" wp14:textId="3F8C3FCE">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Calculation:</w:t>
      </w:r>
      <w:r w:rsidRPr="1AAF4FFD" w:rsidR="25E3DF33">
        <w:rPr>
          <w:rFonts w:ascii="Aptos" w:hAnsi="Aptos" w:eastAsia="Aptos" w:cs="Aptos"/>
          <w:noProof w:val="0"/>
          <w:color w:val="000000" w:themeColor="text1" w:themeTint="FF" w:themeShade="FF"/>
          <w:sz w:val="24"/>
          <w:szCs w:val="24"/>
          <w:lang w:val="en-US"/>
        </w:rPr>
        <w:t xml:space="preserve"> $\frac{\text{Light Peak}}{\text{Dark Trough}} \times 100$</w:t>
      </w:r>
    </w:p>
    <w:p xmlns:wp14="http://schemas.microsoft.com/office/word/2010/wordml" w:rsidP="1AAF4FFD" wp14:paraId="63B7C695" wp14:textId="7A2776B2">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Normal Value:</w:t>
      </w:r>
      <w:r w:rsidRPr="1AAF4FFD" w:rsidR="25E3DF33">
        <w:rPr>
          <w:rFonts w:ascii="Aptos" w:hAnsi="Aptos" w:eastAsia="Aptos" w:cs="Aptos"/>
          <w:noProof w:val="0"/>
          <w:color w:val="000000" w:themeColor="text1" w:themeTint="FF" w:themeShade="FF"/>
          <w:sz w:val="24"/>
          <w:szCs w:val="24"/>
          <w:lang w:val="en-US"/>
        </w:rPr>
        <w:t xml:space="preserve"> Greater than </w:t>
      </w:r>
      <w:r w:rsidRPr="1AAF4FFD" w:rsidR="25E3DF33">
        <w:rPr>
          <w:rFonts w:ascii="Aptos" w:hAnsi="Aptos" w:eastAsia="Aptos" w:cs="Aptos"/>
          <w:b w:val="1"/>
          <w:bCs w:val="1"/>
          <w:noProof w:val="0"/>
          <w:color w:val="000000" w:themeColor="text1" w:themeTint="FF" w:themeShade="FF"/>
          <w:sz w:val="24"/>
          <w:szCs w:val="24"/>
          <w:lang w:val="en-US"/>
        </w:rPr>
        <w:t>185%</w:t>
      </w:r>
      <w:r w:rsidRPr="1AAF4FFD" w:rsidR="25E3DF33">
        <w:rPr>
          <w:rFonts w:ascii="Aptos" w:hAnsi="Aptos" w:eastAsia="Aptos" w:cs="Aptos"/>
          <w:noProof w:val="0"/>
          <w:color w:val="000000" w:themeColor="text1" w:themeTint="FF" w:themeShade="FF"/>
          <w:sz w:val="24"/>
          <w:szCs w:val="24"/>
          <w:lang w:val="en-US"/>
        </w:rPr>
        <w:t>.</w:t>
      </w:r>
    </w:p>
    <w:p xmlns:wp14="http://schemas.microsoft.com/office/word/2010/wordml" w:rsidP="1AAF4FFD" wp14:paraId="41C823B8" wp14:textId="3242C96E">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3. Clinical Application</w:t>
      </w:r>
    </w:p>
    <w:p xmlns:wp14="http://schemas.microsoft.com/office/word/2010/wordml" w:rsidP="1AAF4FFD" wp14:paraId="5C4F6C52" wp14:textId="531E6551">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noProof w:val="0"/>
          <w:color w:val="000000" w:themeColor="text1" w:themeTint="FF" w:themeShade="FF"/>
          <w:sz w:val="24"/>
          <w:szCs w:val="24"/>
          <w:lang w:val="en-US"/>
        </w:rPr>
        <w:t xml:space="preserve">The EOG is the definitive test for diagnosing </w:t>
      </w:r>
      <w:r w:rsidRPr="1AAF4FFD" w:rsidR="25E3DF33">
        <w:rPr>
          <w:rFonts w:ascii="Aptos" w:hAnsi="Aptos" w:eastAsia="Aptos" w:cs="Aptos"/>
          <w:b w:val="1"/>
          <w:bCs w:val="1"/>
          <w:noProof w:val="0"/>
          <w:color w:val="000000" w:themeColor="text1" w:themeTint="FF" w:themeShade="FF"/>
          <w:sz w:val="24"/>
          <w:szCs w:val="24"/>
          <w:lang w:val="en-US"/>
        </w:rPr>
        <w:t>Best’s Vitelliform Macular Dystrophy</w:t>
      </w:r>
      <w:r w:rsidRPr="1AAF4FFD" w:rsidR="25E3DF33">
        <w:rPr>
          <w:rFonts w:ascii="Aptos" w:hAnsi="Aptos" w:eastAsia="Aptos" w:cs="Aptos"/>
          <w:noProof w:val="0"/>
          <w:color w:val="000000" w:themeColor="text1" w:themeTint="FF" w:themeShade="FF"/>
          <w:sz w:val="24"/>
          <w:szCs w:val="24"/>
          <w:lang w:val="en-US"/>
        </w:rPr>
        <w:t>, where the EOG is markedly reduced (abnormal) despite a potentially normal ERG.</w:t>
      </w:r>
    </w:p>
    <w:p xmlns:wp14="http://schemas.microsoft.com/office/word/2010/wordml" wp14:paraId="0F37DDED" wp14:textId="15266708"/>
    <w:p xmlns:wp14="http://schemas.microsoft.com/office/word/2010/wordml" w:rsidP="1AAF4FFD" wp14:paraId="089C3163" wp14:textId="51E49846">
      <w:pPr>
        <w:pStyle w:val="Heading3"/>
        <w:spacing w:before="281" w:beforeAutospacing="off" w:after="281" w:afterAutospacing="off"/>
      </w:pPr>
      <w:r w:rsidRPr="1AAF4FFD" w:rsidR="25E3DF33">
        <w:rPr>
          <w:rFonts w:ascii="Aptos" w:hAnsi="Aptos" w:eastAsia="Aptos" w:cs="Aptos"/>
          <w:b w:val="1"/>
          <w:bCs w:val="1"/>
          <w:noProof w:val="0"/>
          <w:color w:val="000000" w:themeColor="text1" w:themeTint="FF" w:themeShade="FF"/>
          <w:sz w:val="28"/>
          <w:szCs w:val="28"/>
          <w:lang w:val="en-US"/>
        </w:rPr>
        <w:t>V. Eye Movement Recordings: OKN and VOR</w:t>
      </w:r>
    </w:p>
    <w:p xmlns:wp14="http://schemas.microsoft.com/office/word/2010/wordml" w:rsidP="1AAF4FFD" wp14:paraId="040CCED3" wp14:textId="0826ADB0">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1. Optokinetic Nystagmus (OKN)</w:t>
      </w:r>
    </w:p>
    <w:p xmlns:wp14="http://schemas.microsoft.com/office/word/2010/wordml" w:rsidP="1AAF4FFD" wp14:paraId="0748D55F" wp14:textId="60B464BB">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Physiological Basis:</w:t>
      </w:r>
      <w:r w:rsidRPr="1AAF4FFD" w:rsidR="25E3DF33">
        <w:rPr>
          <w:rFonts w:ascii="Aptos" w:hAnsi="Aptos" w:eastAsia="Aptos" w:cs="Aptos"/>
          <w:noProof w:val="0"/>
          <w:color w:val="000000" w:themeColor="text1" w:themeTint="FF" w:themeShade="FF"/>
          <w:sz w:val="24"/>
          <w:szCs w:val="24"/>
          <w:lang w:val="en-US"/>
        </w:rPr>
        <w:t xml:space="preserve"> OKN is a normal, physiological jerk nystagmus induced by looking at a moving repetitive target (e.g., a spinning drum). It allows the eyes to follow a moving field.</w:t>
      </w:r>
    </w:p>
    <w:p xmlns:wp14="http://schemas.microsoft.com/office/word/2010/wordml" w:rsidP="1AAF4FFD" wp14:paraId="5FCC6858" wp14:textId="55A68724">
      <w:pPr>
        <w:pStyle w:val="ListParagraph"/>
        <w:numPr>
          <w:ilvl w:val="0"/>
          <w:numId w:val="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Clinical Significance:</w:t>
      </w:r>
    </w:p>
    <w:p xmlns:wp14="http://schemas.microsoft.com/office/word/2010/wordml" w:rsidP="1AAF4FFD" wp14:paraId="642EBBA9" wp14:textId="49F2C0F2">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Inversion:</w:t>
      </w:r>
      <w:r w:rsidRPr="1AAF4FFD" w:rsidR="25E3DF33">
        <w:rPr>
          <w:rFonts w:ascii="Aptos" w:hAnsi="Aptos" w:eastAsia="Aptos" w:cs="Aptos"/>
          <w:noProof w:val="0"/>
          <w:color w:val="000000" w:themeColor="text1" w:themeTint="FF" w:themeShade="FF"/>
          <w:sz w:val="24"/>
          <w:szCs w:val="24"/>
          <w:lang w:val="en-US"/>
        </w:rPr>
        <w:t xml:space="preserve"> In patients with Congenital Nystagmus (CN), the optokinetic reflex may be "inverted"—meaning the fast phase of the nystagmus beats in the opposite direction to the moving target (normally it beats </w:t>
      </w:r>
      <w:r w:rsidRPr="1AAF4FFD" w:rsidR="25E3DF33">
        <w:rPr>
          <w:rFonts w:ascii="Aptos" w:hAnsi="Aptos" w:eastAsia="Aptos" w:cs="Aptos"/>
          <w:i w:val="1"/>
          <w:iCs w:val="1"/>
          <w:noProof w:val="0"/>
          <w:color w:val="000000" w:themeColor="text1" w:themeTint="FF" w:themeShade="FF"/>
          <w:sz w:val="24"/>
          <w:szCs w:val="24"/>
          <w:lang w:val="en-US"/>
        </w:rPr>
        <w:t>against</w:t>
      </w:r>
      <w:r w:rsidRPr="1AAF4FFD" w:rsidR="25E3DF33">
        <w:rPr>
          <w:rFonts w:ascii="Aptos" w:hAnsi="Aptos" w:eastAsia="Aptos" w:cs="Aptos"/>
          <w:noProof w:val="0"/>
          <w:color w:val="000000" w:themeColor="text1" w:themeTint="FF" w:themeShade="FF"/>
          <w:sz w:val="24"/>
          <w:szCs w:val="24"/>
          <w:lang w:val="en-US"/>
        </w:rPr>
        <w:t xml:space="preserve"> the direction of motion to reset the eye).</w:t>
      </w:r>
    </w:p>
    <w:p xmlns:wp14="http://schemas.microsoft.com/office/word/2010/wordml" w:rsidP="1AAF4FFD" wp14:paraId="45909042" wp14:textId="1BCB3E43">
      <w:pPr>
        <w:pStyle w:val="ListParagraph"/>
        <w:numPr>
          <w:ilvl w:val="1"/>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Assessment:</w:t>
      </w:r>
      <w:r w:rsidRPr="1AAF4FFD" w:rsidR="25E3DF33">
        <w:rPr>
          <w:rFonts w:ascii="Aptos" w:hAnsi="Aptos" w:eastAsia="Aptos" w:cs="Aptos"/>
          <w:noProof w:val="0"/>
          <w:color w:val="000000" w:themeColor="text1" w:themeTint="FF" w:themeShade="FF"/>
          <w:sz w:val="24"/>
          <w:szCs w:val="24"/>
          <w:lang w:val="en-US"/>
        </w:rPr>
        <w:t xml:space="preserve"> OKN testing is useful for estimating visual acuity in infants (if they can track the stripes) and checking for symmetry of motion processing.</w:t>
      </w:r>
    </w:p>
    <w:p xmlns:wp14="http://schemas.microsoft.com/office/word/2010/wordml" w:rsidP="1AAF4FFD" wp14:paraId="487571A2" wp14:textId="530812F8">
      <w:pPr>
        <w:spacing w:before="240" w:beforeAutospacing="off" w:after="240" w:afterAutospacing="off"/>
      </w:pPr>
      <w:r w:rsidRPr="1AAF4FFD" w:rsidR="25E3DF33">
        <w:rPr>
          <w:rFonts w:ascii="Aptos" w:hAnsi="Aptos" w:eastAsia="Aptos" w:cs="Aptos"/>
          <w:b w:val="1"/>
          <w:bCs w:val="1"/>
          <w:noProof w:val="0"/>
          <w:color w:val="000000" w:themeColor="text1" w:themeTint="FF" w:themeShade="FF"/>
          <w:sz w:val="24"/>
          <w:szCs w:val="24"/>
          <w:lang w:val="en-US"/>
        </w:rPr>
        <w:t>2. Vestibular Ocular Reflex (VOR)</w:t>
      </w:r>
    </w:p>
    <w:p xmlns:wp14="http://schemas.microsoft.com/office/word/2010/wordml" w:rsidP="1AAF4FFD" wp14:paraId="2A1973E4" wp14:textId="75B39A16">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Function:</w:t>
      </w:r>
      <w:r w:rsidRPr="1AAF4FFD" w:rsidR="25E3DF33">
        <w:rPr>
          <w:rFonts w:ascii="Aptos" w:hAnsi="Aptos" w:eastAsia="Aptos" w:cs="Aptos"/>
          <w:noProof w:val="0"/>
          <w:color w:val="000000" w:themeColor="text1" w:themeTint="FF" w:themeShade="FF"/>
          <w:sz w:val="24"/>
          <w:szCs w:val="24"/>
          <w:lang w:val="en-US"/>
        </w:rPr>
        <w:t xml:space="preserve"> The VOR stabilizes the retinal image during head movements.</w:t>
      </w:r>
    </w:p>
    <w:p xmlns:wp14="http://schemas.microsoft.com/office/word/2010/wordml" w:rsidP="1AAF4FFD" wp14:paraId="101464B8" wp14:textId="35CE05B5">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Stimulation:</w:t>
      </w:r>
      <w:r w:rsidRPr="1AAF4FFD" w:rsidR="25E3DF33">
        <w:rPr>
          <w:rFonts w:ascii="Aptos" w:hAnsi="Aptos" w:eastAsia="Aptos" w:cs="Aptos"/>
          <w:noProof w:val="0"/>
          <w:color w:val="000000" w:themeColor="text1" w:themeTint="FF" w:themeShade="FF"/>
          <w:sz w:val="24"/>
          <w:szCs w:val="24"/>
          <w:lang w:val="en-US"/>
        </w:rPr>
        <w:t xml:space="preserve"> Vestibular nystagmus is a physiological response that can be induced by rotating the subject or by caloric testing (introducing warm or cold water into the ear) to stimulate the semicircular canals.</w:t>
      </w:r>
    </w:p>
    <w:p xmlns:wp14="http://schemas.microsoft.com/office/word/2010/wordml" w:rsidP="1AAF4FFD" wp14:paraId="5790C6C5" wp14:textId="449AEC50">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1AAF4FFD" w:rsidR="25E3DF33">
        <w:rPr>
          <w:rFonts w:ascii="Aptos" w:hAnsi="Aptos" w:eastAsia="Aptos" w:cs="Aptos"/>
          <w:b w:val="1"/>
          <w:bCs w:val="1"/>
          <w:noProof w:val="0"/>
          <w:color w:val="000000" w:themeColor="text1" w:themeTint="FF" w:themeShade="FF"/>
          <w:sz w:val="24"/>
          <w:szCs w:val="24"/>
          <w:lang w:val="en-US"/>
        </w:rPr>
        <w:t>Clinical Context:</w:t>
      </w:r>
      <w:r w:rsidRPr="1AAF4FFD" w:rsidR="25E3DF33">
        <w:rPr>
          <w:rFonts w:ascii="Aptos" w:hAnsi="Aptos" w:eastAsia="Aptos" w:cs="Aptos"/>
          <w:noProof w:val="0"/>
          <w:color w:val="000000" w:themeColor="text1" w:themeTint="FF" w:themeShade="FF"/>
          <w:sz w:val="24"/>
          <w:szCs w:val="24"/>
          <w:lang w:val="en-US"/>
        </w:rPr>
        <w:t xml:space="preserve"> Assessing the VOR helps differentiate between peripheral vestibular disease (which generates linear slow phases and worsens without fixation) and central ocular motor defects.</w:t>
      </w:r>
    </w:p>
    <w:p xmlns:wp14="http://schemas.microsoft.com/office/word/2010/wordml" wp14:paraId="2C078E63" wp14:textId="31982D7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2117c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f4f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aee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fe2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af8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b85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8ed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94c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73b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da7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9B7A"/>
    <w:rsid w:val="00539B7A"/>
    <w:rsid w:val="1AAF4FFD"/>
    <w:rsid w:val="25E3D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9B7A"/>
  <w15:chartTrackingRefBased/>
  <w15:docId w15:val="{0854FCA4-197F-495A-B058-CD7C16FDBE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AAF4FF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AAF4FF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14f3709228748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2026-03-01T17:42:42.4311862Z</dcterms:created>
  <dcterms:modified xsi:type="dcterms:W3CDTF">2026-03-01T17:43:01.1761122Z</dcterms:modified>
  <dc:creator>Naganathan Muthuramalingam</dc:creator>
  <lastModifiedBy>Naganathan Muthuramalingam</lastModifiedBy>
</coreProperties>
</file>