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50DA976" wp14:paraId="2D2C943A" wp14:textId="5B083779">
      <w:pPr>
        <w:spacing w:before="240" w:beforeAutospacing="off" w:after="120" w:afterAutospacing="off"/>
      </w:pPr>
      <w:r w:rsidRPr="350DA976" w:rsidR="11CA08D4">
        <w:rPr>
          <w:rFonts w:ascii="Aptos" w:hAnsi="Aptos" w:eastAsia="Aptos" w:cs="Aptos"/>
          <w:b w:val="1"/>
          <w:bCs w:val="1"/>
          <w:noProof w:val="0"/>
          <w:color w:val="303030"/>
          <w:sz w:val="21"/>
          <w:szCs w:val="21"/>
          <w:lang w:val="en-US"/>
        </w:rPr>
        <w:t>Parks Three-Step Test</w:t>
      </w:r>
    </w:p>
    <w:p xmlns:wp14="http://schemas.microsoft.com/office/word/2010/wordml" w:rsidP="350DA976" wp14:paraId="1A9516A2" wp14:textId="2E9BA43B">
      <w:pPr>
        <w:spacing w:before="0" w:beforeAutospacing="off" w:after="120" w:afterAutospacing="off"/>
      </w:pPr>
      <w:r w:rsidRPr="350DA976" w:rsidR="11CA08D4">
        <w:rPr>
          <w:rFonts w:ascii="Aptos" w:hAnsi="Aptos" w:eastAsia="Aptos" w:cs="Aptos"/>
          <w:b w:val="1"/>
          <w:bCs w:val="1"/>
          <w:noProof w:val="0"/>
          <w:color w:val="303030"/>
          <w:sz w:val="21"/>
          <w:szCs w:val="21"/>
          <w:lang w:val="en-US"/>
        </w:rPr>
        <w:t>Equipment Needed:</w:t>
      </w:r>
      <w:r w:rsidRPr="350DA976" w:rsidR="11CA08D4">
        <w:rPr>
          <w:rFonts w:ascii="Aptos" w:hAnsi="Aptos" w:eastAsia="Aptos" w:cs="Aptos"/>
          <w:noProof w:val="0"/>
          <w:color w:val="303030"/>
          <w:sz w:val="21"/>
          <w:szCs w:val="21"/>
          <w:lang w:val="en-US"/>
        </w:rPr>
        <w:t xml:space="preserve"> A fixation target (like a penlight or a letter on the wall), and an occluder or prism bar if objectively measuring the magnitude of the deviation.</w:t>
      </w:r>
    </w:p>
    <w:p xmlns:wp14="http://schemas.microsoft.com/office/word/2010/wordml" w:rsidP="350DA976" wp14:paraId="250F7DF8" wp14:textId="308423E1">
      <w:pPr>
        <w:spacing w:before="0" w:beforeAutospacing="off" w:after="120" w:afterAutospacing="off"/>
      </w:pPr>
      <w:r w:rsidRPr="350DA976" w:rsidR="11CA08D4">
        <w:rPr>
          <w:rFonts w:ascii="Aptos" w:hAnsi="Aptos" w:eastAsia="Aptos" w:cs="Aptos"/>
          <w:b w:val="1"/>
          <w:bCs w:val="1"/>
          <w:noProof w:val="0"/>
          <w:color w:val="303030"/>
          <w:sz w:val="21"/>
          <w:szCs w:val="21"/>
          <w:lang w:val="en-US"/>
        </w:rPr>
        <w:t>I. Purpose and Principles</w:t>
      </w:r>
    </w:p>
    <w:p xmlns:wp14="http://schemas.microsoft.com/office/word/2010/wordml" w:rsidP="350DA976" wp14:paraId="5F5F5481" wp14:textId="18E1D55E">
      <w:pPr>
        <w:pStyle w:val="ListParagraph"/>
        <w:numPr>
          <w:ilvl w:val="0"/>
          <w:numId w:val="1"/>
        </w:numPr>
        <w:spacing w:before="0" w:beforeAutospacing="off" w:after="120" w:afterAutospacing="off"/>
        <w:rPr>
          <w:rFonts w:ascii="Aptos" w:hAnsi="Aptos" w:eastAsia="Aptos" w:cs="Aptos"/>
          <w:noProof w:val="0"/>
          <w:color w:val="303030"/>
          <w:sz w:val="21"/>
          <w:szCs w:val="21"/>
          <w:lang w:val="en-US"/>
        </w:rPr>
      </w:pPr>
      <w:r w:rsidRPr="350DA976" w:rsidR="11CA08D4">
        <w:rPr>
          <w:rFonts w:ascii="Aptos" w:hAnsi="Aptos" w:eastAsia="Aptos" w:cs="Aptos"/>
          <w:b w:val="1"/>
          <w:bCs w:val="1"/>
          <w:noProof w:val="0"/>
          <w:color w:val="303030"/>
          <w:sz w:val="21"/>
          <w:szCs w:val="21"/>
          <w:lang w:val="en-US"/>
        </w:rPr>
        <w:t>Clinical Value:</w:t>
      </w:r>
      <w:r w:rsidRPr="350DA976" w:rsidR="11CA08D4">
        <w:rPr>
          <w:rFonts w:ascii="Aptos" w:hAnsi="Aptos" w:eastAsia="Aptos" w:cs="Aptos"/>
          <w:noProof w:val="0"/>
          <w:color w:val="303030"/>
          <w:sz w:val="21"/>
          <w:szCs w:val="21"/>
          <w:lang w:val="en-US"/>
        </w:rPr>
        <w:t xml:space="preserve"> The Parks Three-Step Test is a purely observational, deductive method used to isolate a single paretic cyclovertical muscle in cases of acquired vertical double vision (diplopia).</w:t>
      </w:r>
    </w:p>
    <w:p xmlns:wp14="http://schemas.microsoft.com/office/word/2010/wordml" w:rsidP="350DA976" wp14:paraId="794BF8AE" wp14:textId="3EDA863D">
      <w:pPr>
        <w:pStyle w:val="ListParagraph"/>
        <w:numPr>
          <w:ilvl w:val="0"/>
          <w:numId w:val="1"/>
        </w:numPr>
        <w:spacing w:before="0" w:beforeAutospacing="off" w:after="120" w:afterAutospacing="off"/>
        <w:rPr>
          <w:rFonts w:ascii="Aptos" w:hAnsi="Aptos" w:eastAsia="Aptos" w:cs="Aptos"/>
          <w:noProof w:val="0"/>
          <w:color w:val="303030"/>
          <w:sz w:val="21"/>
          <w:szCs w:val="21"/>
          <w:lang w:val="en-US"/>
        </w:rPr>
      </w:pPr>
      <w:r w:rsidRPr="350DA976" w:rsidR="11CA08D4">
        <w:rPr>
          <w:rFonts w:ascii="Aptos" w:hAnsi="Aptos" w:eastAsia="Aptos" w:cs="Aptos"/>
          <w:b w:val="1"/>
          <w:bCs w:val="1"/>
          <w:noProof w:val="0"/>
          <w:color w:val="303030"/>
          <w:sz w:val="21"/>
          <w:szCs w:val="21"/>
          <w:lang w:val="en-US"/>
        </w:rPr>
        <w:t>Physiological Basis:</w:t>
      </w:r>
      <w:r w:rsidRPr="350DA976" w:rsidR="11CA08D4">
        <w:rPr>
          <w:rFonts w:ascii="Aptos" w:hAnsi="Aptos" w:eastAsia="Aptos" w:cs="Aptos"/>
          <w:noProof w:val="0"/>
          <w:color w:val="303030"/>
          <w:sz w:val="21"/>
          <w:szCs w:val="21"/>
          <w:lang w:val="en-US"/>
        </w:rPr>
        <w:t xml:space="preserve"> It utilizes the primary and secondary actions of the extraocular muscles across different positions of gaze and head postures to systematically eliminate unaffected muscles until only the paretic muscle remains.</w:t>
      </w:r>
    </w:p>
    <w:p xmlns:wp14="http://schemas.microsoft.com/office/word/2010/wordml" w:rsidP="350DA976" wp14:paraId="76DC6246" wp14:textId="54F9B5C2">
      <w:pPr>
        <w:spacing w:before="0" w:beforeAutospacing="off" w:after="120" w:afterAutospacing="off"/>
      </w:pPr>
      <w:r w:rsidRPr="350DA976" w:rsidR="11CA08D4">
        <w:rPr>
          <w:rFonts w:ascii="Aptos" w:hAnsi="Aptos" w:eastAsia="Aptos" w:cs="Aptos"/>
          <w:b w:val="1"/>
          <w:bCs w:val="1"/>
          <w:noProof w:val="0"/>
          <w:color w:val="303030"/>
          <w:sz w:val="21"/>
          <w:szCs w:val="21"/>
          <w:lang w:val="en-US"/>
        </w:rPr>
        <w:t>II. The Three Deductive Steps</w:t>
      </w:r>
    </w:p>
    <w:p xmlns:wp14="http://schemas.microsoft.com/office/word/2010/wordml" w:rsidP="350DA976" wp14:paraId="3D5F7003" wp14:textId="32105321">
      <w:pPr>
        <w:pStyle w:val="ListParagraph"/>
        <w:numPr>
          <w:ilvl w:val="0"/>
          <w:numId w:val="2"/>
        </w:numPr>
        <w:spacing w:before="0" w:beforeAutospacing="off" w:after="120" w:afterAutospacing="off"/>
        <w:rPr>
          <w:rFonts w:ascii="Aptos" w:hAnsi="Aptos" w:eastAsia="Aptos" w:cs="Aptos"/>
          <w:b w:val="1"/>
          <w:bCs w:val="1"/>
          <w:noProof w:val="0"/>
          <w:color w:val="303030"/>
          <w:sz w:val="21"/>
          <w:szCs w:val="21"/>
          <w:lang w:val="en-US"/>
        </w:rPr>
      </w:pPr>
      <w:r w:rsidRPr="350DA976" w:rsidR="11CA08D4">
        <w:rPr>
          <w:rFonts w:ascii="Aptos" w:hAnsi="Aptos" w:eastAsia="Aptos" w:cs="Aptos"/>
          <w:b w:val="1"/>
          <w:bCs w:val="1"/>
          <w:noProof w:val="0"/>
          <w:color w:val="303030"/>
          <w:sz w:val="21"/>
          <w:szCs w:val="21"/>
          <w:lang w:val="en-US"/>
        </w:rPr>
        <w:t>Step 1: Primary Position (Which eye is higher?)</w:t>
      </w:r>
    </w:p>
    <w:p xmlns:wp14="http://schemas.microsoft.com/office/word/2010/wordml" w:rsidP="350DA976" wp14:paraId="36FD9906" wp14:textId="4A7B4DD9">
      <w:pPr>
        <w:pStyle w:val="ListParagraph"/>
        <w:numPr>
          <w:ilvl w:val="1"/>
          <w:numId w:val="2"/>
        </w:numPr>
        <w:spacing w:before="0" w:beforeAutospacing="off" w:after="120" w:afterAutospacing="off"/>
        <w:rPr>
          <w:rFonts w:ascii="Aptos" w:hAnsi="Aptos" w:eastAsia="Aptos" w:cs="Aptos"/>
          <w:noProof w:val="0"/>
          <w:color w:val="303030"/>
          <w:sz w:val="21"/>
          <w:szCs w:val="21"/>
          <w:lang w:val="en-US"/>
        </w:rPr>
      </w:pPr>
      <w:r w:rsidRPr="350DA976" w:rsidR="11CA08D4">
        <w:rPr>
          <w:rFonts w:ascii="Aptos" w:hAnsi="Aptos" w:eastAsia="Aptos" w:cs="Aptos"/>
          <w:i w:val="1"/>
          <w:iCs w:val="1"/>
          <w:noProof w:val="0"/>
          <w:color w:val="303030"/>
          <w:sz w:val="21"/>
          <w:szCs w:val="21"/>
          <w:lang w:val="en-US"/>
        </w:rPr>
        <w:t>Procedure:</w:t>
      </w:r>
      <w:r w:rsidRPr="350DA976" w:rsidR="11CA08D4">
        <w:rPr>
          <w:rFonts w:ascii="Aptos" w:hAnsi="Aptos" w:eastAsia="Aptos" w:cs="Aptos"/>
          <w:noProof w:val="0"/>
          <w:color w:val="303030"/>
          <w:sz w:val="21"/>
          <w:szCs w:val="21"/>
          <w:lang w:val="en-US"/>
        </w:rPr>
        <w:t xml:space="preserve"> Observe the patient in primary gaze and determine which eye is hypertropic (higher).</w:t>
      </w:r>
    </w:p>
    <w:p xmlns:wp14="http://schemas.microsoft.com/office/word/2010/wordml" w:rsidP="350DA976" wp14:paraId="1E2B81FE" wp14:textId="455BB3FF">
      <w:pPr>
        <w:pStyle w:val="ListParagraph"/>
        <w:numPr>
          <w:ilvl w:val="1"/>
          <w:numId w:val="2"/>
        </w:numPr>
        <w:spacing w:before="0" w:beforeAutospacing="off" w:after="120" w:afterAutospacing="off"/>
        <w:rPr>
          <w:rFonts w:ascii="Aptos" w:hAnsi="Aptos" w:eastAsia="Aptos" w:cs="Aptos"/>
          <w:noProof w:val="0"/>
          <w:color w:val="303030"/>
          <w:sz w:val="21"/>
          <w:szCs w:val="21"/>
          <w:lang w:val="en-US"/>
        </w:rPr>
      </w:pPr>
      <w:r w:rsidRPr="350DA976" w:rsidR="11CA08D4">
        <w:rPr>
          <w:rFonts w:ascii="Aptos" w:hAnsi="Aptos" w:eastAsia="Aptos" w:cs="Aptos"/>
          <w:i w:val="1"/>
          <w:iCs w:val="1"/>
          <w:noProof w:val="0"/>
          <w:color w:val="303030"/>
          <w:sz w:val="21"/>
          <w:szCs w:val="21"/>
          <w:lang w:val="en-US"/>
        </w:rPr>
        <w:t>Deduction:</w:t>
      </w:r>
      <w:r w:rsidRPr="350DA976" w:rsidR="11CA08D4">
        <w:rPr>
          <w:rFonts w:ascii="Aptos" w:hAnsi="Aptos" w:eastAsia="Aptos" w:cs="Aptos"/>
          <w:noProof w:val="0"/>
          <w:color w:val="303030"/>
          <w:sz w:val="21"/>
          <w:szCs w:val="21"/>
          <w:lang w:val="en-US"/>
        </w:rPr>
        <w:t xml:space="preserve"> A right hypertropia (R/L) indicates a weakness in the depressors of the right eye (Right Inferior Rectus or Right Superior Oblique) or the elevators of the left eye (Left Superior Rectus or Left Inferior Oblique). This narrows the suspect muscles down from eight to four.</w:t>
      </w:r>
    </w:p>
    <w:p xmlns:wp14="http://schemas.microsoft.com/office/word/2010/wordml" w:rsidP="350DA976" wp14:paraId="53DF60A7" wp14:textId="28C926E3">
      <w:pPr>
        <w:pStyle w:val="ListParagraph"/>
        <w:numPr>
          <w:ilvl w:val="0"/>
          <w:numId w:val="2"/>
        </w:numPr>
        <w:spacing w:before="0" w:beforeAutospacing="off" w:after="120" w:afterAutospacing="off"/>
        <w:rPr>
          <w:rFonts w:ascii="Aptos" w:hAnsi="Aptos" w:eastAsia="Aptos" w:cs="Aptos"/>
          <w:b w:val="1"/>
          <w:bCs w:val="1"/>
          <w:noProof w:val="0"/>
          <w:color w:val="303030"/>
          <w:sz w:val="21"/>
          <w:szCs w:val="21"/>
          <w:lang w:val="en-US"/>
        </w:rPr>
      </w:pPr>
      <w:r w:rsidRPr="350DA976" w:rsidR="11CA08D4">
        <w:rPr>
          <w:rFonts w:ascii="Aptos" w:hAnsi="Aptos" w:eastAsia="Aptos" w:cs="Aptos"/>
          <w:b w:val="1"/>
          <w:bCs w:val="1"/>
          <w:noProof w:val="0"/>
          <w:color w:val="303030"/>
          <w:sz w:val="21"/>
          <w:szCs w:val="21"/>
          <w:lang w:val="en-US"/>
        </w:rPr>
        <w:t>Step 2: Horizontal Gaze (Is the deviation greater in left or right gaze?)</w:t>
      </w:r>
    </w:p>
    <w:p xmlns:wp14="http://schemas.microsoft.com/office/word/2010/wordml" w:rsidP="350DA976" wp14:paraId="34415581" wp14:textId="5A18D38A">
      <w:pPr>
        <w:pStyle w:val="ListParagraph"/>
        <w:numPr>
          <w:ilvl w:val="1"/>
          <w:numId w:val="2"/>
        </w:numPr>
        <w:spacing w:before="0" w:beforeAutospacing="off" w:after="120" w:afterAutospacing="off"/>
        <w:rPr>
          <w:rFonts w:ascii="Aptos" w:hAnsi="Aptos" w:eastAsia="Aptos" w:cs="Aptos"/>
          <w:noProof w:val="0"/>
          <w:color w:val="303030"/>
          <w:sz w:val="21"/>
          <w:szCs w:val="21"/>
          <w:lang w:val="en-US"/>
        </w:rPr>
      </w:pPr>
      <w:r w:rsidRPr="350DA976" w:rsidR="11CA08D4">
        <w:rPr>
          <w:rFonts w:ascii="Aptos" w:hAnsi="Aptos" w:eastAsia="Aptos" w:cs="Aptos"/>
          <w:i w:val="1"/>
          <w:iCs w:val="1"/>
          <w:noProof w:val="0"/>
          <w:color w:val="303030"/>
          <w:sz w:val="21"/>
          <w:szCs w:val="21"/>
          <w:lang w:val="en-US"/>
        </w:rPr>
        <w:t>Procedure:</w:t>
      </w:r>
      <w:r w:rsidRPr="350DA976" w:rsidR="11CA08D4">
        <w:rPr>
          <w:rFonts w:ascii="Aptos" w:hAnsi="Aptos" w:eastAsia="Aptos" w:cs="Aptos"/>
          <w:noProof w:val="0"/>
          <w:color w:val="303030"/>
          <w:sz w:val="21"/>
          <w:szCs w:val="21"/>
          <w:lang w:val="en-US"/>
        </w:rPr>
        <w:t xml:space="preserve"> Have the patient look to the left and then to the right. Determine in which direction the vertical deviation (hypertropia) worsens.</w:t>
      </w:r>
    </w:p>
    <w:p xmlns:wp14="http://schemas.microsoft.com/office/word/2010/wordml" w:rsidP="350DA976" wp14:paraId="6B3BCFFF" wp14:textId="21F8F3F7">
      <w:pPr>
        <w:pStyle w:val="ListParagraph"/>
        <w:numPr>
          <w:ilvl w:val="1"/>
          <w:numId w:val="2"/>
        </w:numPr>
        <w:spacing w:before="0" w:beforeAutospacing="off" w:after="120" w:afterAutospacing="off"/>
        <w:rPr>
          <w:rFonts w:ascii="Aptos" w:hAnsi="Aptos" w:eastAsia="Aptos" w:cs="Aptos"/>
          <w:noProof w:val="0"/>
          <w:color w:val="303030"/>
          <w:sz w:val="21"/>
          <w:szCs w:val="21"/>
          <w:lang w:val="en-US"/>
        </w:rPr>
      </w:pPr>
      <w:r w:rsidRPr="350DA976" w:rsidR="11CA08D4">
        <w:rPr>
          <w:rFonts w:ascii="Aptos" w:hAnsi="Aptos" w:eastAsia="Aptos" w:cs="Aptos"/>
          <w:i w:val="1"/>
          <w:iCs w:val="1"/>
          <w:noProof w:val="0"/>
          <w:color w:val="303030"/>
          <w:sz w:val="21"/>
          <w:szCs w:val="21"/>
          <w:lang w:val="en-US"/>
        </w:rPr>
        <w:t>Deduction:</w:t>
      </w:r>
      <w:r w:rsidRPr="350DA976" w:rsidR="11CA08D4">
        <w:rPr>
          <w:rFonts w:ascii="Aptos" w:hAnsi="Aptos" w:eastAsia="Aptos" w:cs="Aptos"/>
          <w:noProof w:val="0"/>
          <w:color w:val="303030"/>
          <w:sz w:val="21"/>
          <w:szCs w:val="21"/>
          <w:lang w:val="en-US"/>
        </w:rPr>
        <w:t xml:space="preserve"> Vertical muscles have their maximum vertical action when the eye is either adducted or abducted. For example, if the right hypertropia is worse in right gaze, the suspect muscles are narrowed down to those that act vertically in right gaze: the Right Superior Rectus, Right Inferior Rectus, Left Inferior Oblique, or Left Superior Oblique. By combining Step 1 and Step 2, the list of suspects is reduced from four to two.</w:t>
      </w:r>
    </w:p>
    <w:p xmlns:wp14="http://schemas.microsoft.com/office/word/2010/wordml" w:rsidP="350DA976" wp14:paraId="658BF05E" wp14:textId="6A5D7BFD">
      <w:pPr>
        <w:pStyle w:val="ListParagraph"/>
        <w:numPr>
          <w:ilvl w:val="0"/>
          <w:numId w:val="2"/>
        </w:numPr>
        <w:spacing w:before="0" w:beforeAutospacing="off" w:after="120" w:afterAutospacing="off"/>
        <w:rPr>
          <w:rFonts w:ascii="Aptos" w:hAnsi="Aptos" w:eastAsia="Aptos" w:cs="Aptos"/>
          <w:b w:val="1"/>
          <w:bCs w:val="1"/>
          <w:noProof w:val="0"/>
          <w:color w:val="303030"/>
          <w:sz w:val="21"/>
          <w:szCs w:val="21"/>
          <w:lang w:val="en-US"/>
        </w:rPr>
      </w:pPr>
      <w:r w:rsidRPr="350DA976" w:rsidR="11CA08D4">
        <w:rPr>
          <w:rFonts w:ascii="Aptos" w:hAnsi="Aptos" w:eastAsia="Aptos" w:cs="Aptos"/>
          <w:b w:val="1"/>
          <w:bCs w:val="1"/>
          <w:noProof w:val="0"/>
          <w:color w:val="303030"/>
          <w:sz w:val="21"/>
          <w:szCs w:val="21"/>
          <w:lang w:val="en-US"/>
        </w:rPr>
        <w:t>Step 3: Bielschowsky Head-Tilt Test (Is the deviation greater with head tilt to the left or right?)</w:t>
      </w:r>
    </w:p>
    <w:p xmlns:wp14="http://schemas.microsoft.com/office/word/2010/wordml" w:rsidP="350DA976" wp14:paraId="61DD57DB" wp14:textId="7E18E93C">
      <w:pPr>
        <w:pStyle w:val="ListParagraph"/>
        <w:numPr>
          <w:ilvl w:val="1"/>
          <w:numId w:val="2"/>
        </w:numPr>
        <w:spacing w:before="0" w:beforeAutospacing="off" w:after="120" w:afterAutospacing="off"/>
        <w:rPr>
          <w:rFonts w:ascii="Aptos" w:hAnsi="Aptos" w:eastAsia="Aptos" w:cs="Aptos"/>
          <w:noProof w:val="0"/>
          <w:color w:val="303030"/>
          <w:sz w:val="21"/>
          <w:szCs w:val="21"/>
          <w:lang w:val="en-US"/>
        </w:rPr>
      </w:pPr>
      <w:r w:rsidRPr="350DA976" w:rsidR="11CA08D4">
        <w:rPr>
          <w:rFonts w:ascii="Aptos" w:hAnsi="Aptos" w:eastAsia="Aptos" w:cs="Aptos"/>
          <w:i w:val="1"/>
          <w:iCs w:val="1"/>
          <w:noProof w:val="0"/>
          <w:color w:val="303030"/>
          <w:sz w:val="21"/>
          <w:szCs w:val="21"/>
          <w:lang w:val="en-US"/>
        </w:rPr>
        <w:t>Procedure:</w:t>
      </w:r>
      <w:r w:rsidRPr="350DA976" w:rsidR="11CA08D4">
        <w:rPr>
          <w:rFonts w:ascii="Aptos" w:hAnsi="Aptos" w:eastAsia="Aptos" w:cs="Aptos"/>
          <w:noProof w:val="0"/>
          <w:color w:val="303030"/>
          <w:sz w:val="21"/>
          <w:szCs w:val="21"/>
          <w:lang w:val="en-US"/>
        </w:rPr>
        <w:t xml:space="preserve"> Tilt the patient's head to the right shoulder, then to the left shoulder, and observe which tilt exacerbates the vertical deviation.</w:t>
      </w:r>
    </w:p>
    <w:p xmlns:wp14="http://schemas.microsoft.com/office/word/2010/wordml" w:rsidP="350DA976" wp14:paraId="02811B2C" wp14:textId="249BB446">
      <w:pPr>
        <w:pStyle w:val="ListParagraph"/>
        <w:numPr>
          <w:ilvl w:val="1"/>
          <w:numId w:val="2"/>
        </w:numPr>
        <w:spacing w:before="0" w:beforeAutospacing="off" w:after="120" w:afterAutospacing="off"/>
        <w:rPr>
          <w:rFonts w:ascii="Aptos" w:hAnsi="Aptos" w:eastAsia="Aptos" w:cs="Aptos"/>
          <w:noProof w:val="0"/>
          <w:color w:val="303030"/>
          <w:sz w:val="21"/>
          <w:szCs w:val="21"/>
          <w:lang w:val="en-US"/>
        </w:rPr>
      </w:pPr>
      <w:r w:rsidRPr="350DA976" w:rsidR="11CA08D4">
        <w:rPr>
          <w:rFonts w:ascii="Aptos" w:hAnsi="Aptos" w:eastAsia="Aptos" w:cs="Aptos"/>
          <w:i w:val="1"/>
          <w:iCs w:val="1"/>
          <w:noProof w:val="0"/>
          <w:color w:val="303030"/>
          <w:sz w:val="21"/>
          <w:szCs w:val="21"/>
          <w:lang w:val="en-US"/>
        </w:rPr>
        <w:t>Physiological Mechanism:</w:t>
      </w:r>
      <w:r w:rsidRPr="350DA976" w:rsidR="11CA08D4">
        <w:rPr>
          <w:rFonts w:ascii="Aptos" w:hAnsi="Aptos" w:eastAsia="Aptos" w:cs="Aptos"/>
          <w:noProof w:val="0"/>
          <w:color w:val="303030"/>
          <w:sz w:val="21"/>
          <w:szCs w:val="21"/>
          <w:lang w:val="en-US"/>
        </w:rPr>
        <w:t xml:space="preserve"> Tilting the head activates the vestibular system, which initiates reflex cyclorotation to keep the eyes aligned with the horizon. A head tilt to the right causes intorsion of the right eye (driven by the Right Superior Oblique and Right Superior Rectus) and extorsion of the left eye (driven by the Left Inferior Oblique and Left Inferior Rectus).</w:t>
      </w:r>
    </w:p>
    <w:p xmlns:wp14="http://schemas.microsoft.com/office/word/2010/wordml" w:rsidP="350DA976" wp14:paraId="13B94608" wp14:textId="5BF26B40">
      <w:pPr>
        <w:pStyle w:val="ListParagraph"/>
        <w:numPr>
          <w:ilvl w:val="1"/>
          <w:numId w:val="2"/>
        </w:numPr>
        <w:spacing w:before="0" w:beforeAutospacing="off" w:after="120" w:afterAutospacing="off"/>
        <w:rPr>
          <w:rFonts w:ascii="Aptos" w:hAnsi="Aptos" w:eastAsia="Aptos" w:cs="Aptos"/>
          <w:noProof w:val="0"/>
          <w:color w:val="303030"/>
          <w:sz w:val="21"/>
          <w:szCs w:val="21"/>
          <w:lang w:val="en-US"/>
        </w:rPr>
      </w:pPr>
      <w:r w:rsidRPr="350DA976" w:rsidR="11CA08D4">
        <w:rPr>
          <w:rFonts w:ascii="Aptos" w:hAnsi="Aptos" w:eastAsia="Aptos" w:cs="Aptos"/>
          <w:i w:val="1"/>
          <w:iCs w:val="1"/>
          <w:noProof w:val="0"/>
          <w:color w:val="303030"/>
          <w:sz w:val="21"/>
          <w:szCs w:val="21"/>
          <w:lang w:val="en-US"/>
        </w:rPr>
        <w:t>Deduction:</w:t>
      </w:r>
      <w:r w:rsidRPr="350DA976" w:rsidR="11CA08D4">
        <w:rPr>
          <w:rFonts w:ascii="Aptos" w:hAnsi="Aptos" w:eastAsia="Aptos" w:cs="Aptos"/>
          <w:noProof w:val="0"/>
          <w:color w:val="303030"/>
          <w:sz w:val="21"/>
          <w:szCs w:val="21"/>
          <w:lang w:val="en-US"/>
        </w:rPr>
        <w:t xml:space="preserve"> If an intortor (e.g., the Right Superior Oblique) is paretic, it cannot adequately counteract the elevating action of its synergistic intortor (the Right Superior Rectus). Consequently, the right eye will shoot upwards, making the deviation manifest or significantly worse. This final step isolates the single paretic muscle.</w:t>
      </w:r>
    </w:p>
    <w:p xmlns:wp14="http://schemas.microsoft.com/office/word/2010/wordml" w:rsidP="350DA976" wp14:paraId="36AA1C7E" wp14:textId="30595704">
      <w:pPr>
        <w:spacing w:before="0" w:beforeAutospacing="off" w:after="120" w:afterAutospacing="off"/>
      </w:pPr>
      <w:r w:rsidRPr="350DA976" w:rsidR="11CA08D4">
        <w:rPr>
          <w:rFonts w:ascii="Aptos" w:hAnsi="Aptos" w:eastAsia="Aptos" w:cs="Aptos"/>
          <w:b w:val="1"/>
          <w:bCs w:val="1"/>
          <w:noProof w:val="0"/>
          <w:color w:val="303030"/>
          <w:sz w:val="21"/>
          <w:szCs w:val="21"/>
          <w:lang w:val="en-US"/>
        </w:rPr>
        <w:t>III. Advanced Clinical Pearls &amp; Limitations</w:t>
      </w:r>
    </w:p>
    <w:p xmlns:wp14="http://schemas.microsoft.com/office/word/2010/wordml" w:rsidP="350DA976" wp14:paraId="080DDFC8" wp14:textId="7FAAC5D8">
      <w:pPr>
        <w:pStyle w:val="ListParagraph"/>
        <w:numPr>
          <w:ilvl w:val="0"/>
          <w:numId w:val="3"/>
        </w:numPr>
        <w:spacing w:before="0" w:beforeAutospacing="off" w:after="120" w:afterAutospacing="off"/>
        <w:rPr>
          <w:rFonts w:ascii="Aptos" w:hAnsi="Aptos" w:eastAsia="Aptos" w:cs="Aptos"/>
          <w:noProof w:val="0"/>
          <w:color w:val="303030"/>
          <w:sz w:val="21"/>
          <w:szCs w:val="21"/>
          <w:lang w:val="en-US"/>
        </w:rPr>
      </w:pPr>
      <w:r w:rsidRPr="350DA976" w:rsidR="11CA08D4">
        <w:rPr>
          <w:rFonts w:ascii="Aptos" w:hAnsi="Aptos" w:eastAsia="Aptos" w:cs="Aptos"/>
          <w:b w:val="1"/>
          <w:bCs w:val="1"/>
          <w:noProof w:val="0"/>
          <w:color w:val="303030"/>
          <w:sz w:val="21"/>
          <w:szCs w:val="21"/>
          <w:lang w:val="en-US"/>
        </w:rPr>
        <w:t>Invalid Results:</w:t>
      </w:r>
      <w:r w:rsidRPr="350DA976" w:rsidR="11CA08D4">
        <w:rPr>
          <w:rFonts w:ascii="Aptos" w:hAnsi="Aptos" w:eastAsia="Aptos" w:cs="Aptos"/>
          <w:noProof w:val="0"/>
          <w:color w:val="303030"/>
          <w:sz w:val="21"/>
          <w:szCs w:val="21"/>
          <w:lang w:val="en-US"/>
        </w:rPr>
        <w:t xml:space="preserve"> The Parks Three-Step Test assumes only </w:t>
      </w:r>
      <w:r w:rsidRPr="350DA976" w:rsidR="11CA08D4">
        <w:rPr>
          <w:rFonts w:ascii="Aptos" w:hAnsi="Aptos" w:eastAsia="Aptos" w:cs="Aptos"/>
          <w:i w:val="1"/>
          <w:iCs w:val="1"/>
          <w:noProof w:val="0"/>
          <w:color w:val="303030"/>
          <w:sz w:val="21"/>
          <w:szCs w:val="21"/>
          <w:lang w:val="en-US"/>
        </w:rPr>
        <w:t>one</w:t>
      </w:r>
      <w:r w:rsidRPr="350DA976" w:rsidR="11CA08D4">
        <w:rPr>
          <w:rFonts w:ascii="Aptos" w:hAnsi="Aptos" w:eastAsia="Aptos" w:cs="Aptos"/>
          <w:noProof w:val="0"/>
          <w:color w:val="303030"/>
          <w:sz w:val="21"/>
          <w:szCs w:val="21"/>
          <w:lang w:val="en-US"/>
        </w:rPr>
        <w:t xml:space="preserve"> muscle is paretic. It can yield invalid or misleading results if more than one muscle is involved, if there has been prior strabismus surgery, or if the etiology is restrictive/mechanical (e.g., thyroid eye disease, orbital blow-out fracture) rather than neurogenic.</w:t>
      </w:r>
    </w:p>
    <w:p xmlns:wp14="http://schemas.microsoft.com/office/word/2010/wordml" w:rsidP="350DA976" wp14:paraId="6C08B5AE" wp14:textId="47F670D0">
      <w:pPr>
        <w:pStyle w:val="ListParagraph"/>
        <w:numPr>
          <w:ilvl w:val="0"/>
          <w:numId w:val="3"/>
        </w:numPr>
        <w:spacing w:before="0" w:beforeAutospacing="off" w:after="120" w:afterAutospacing="off"/>
        <w:rPr>
          <w:rFonts w:ascii="Aptos" w:hAnsi="Aptos" w:eastAsia="Aptos" w:cs="Aptos"/>
          <w:noProof w:val="0"/>
          <w:color w:val="303030"/>
          <w:sz w:val="21"/>
          <w:szCs w:val="21"/>
          <w:lang w:val="en-US"/>
        </w:rPr>
      </w:pPr>
      <w:r w:rsidRPr="350DA976" w:rsidR="11CA08D4">
        <w:rPr>
          <w:rFonts w:ascii="Aptos" w:hAnsi="Aptos" w:eastAsia="Aptos" w:cs="Aptos"/>
          <w:b w:val="1"/>
          <w:bCs w:val="1"/>
          <w:noProof w:val="0"/>
          <w:color w:val="303030"/>
          <w:sz w:val="21"/>
          <w:szCs w:val="21"/>
          <w:lang w:val="en-US"/>
        </w:rPr>
        <w:t>Alternative for Heterophoria:</w:t>
      </w:r>
      <w:r w:rsidRPr="350DA976" w:rsidR="11CA08D4">
        <w:rPr>
          <w:rFonts w:ascii="Aptos" w:hAnsi="Aptos" w:eastAsia="Aptos" w:cs="Aptos"/>
          <w:noProof w:val="0"/>
          <w:color w:val="303030"/>
          <w:sz w:val="21"/>
          <w:szCs w:val="21"/>
          <w:lang w:val="en-US"/>
        </w:rPr>
        <w:t xml:space="preserve"> In cases of subtle, heterophoric incomitancies, </w:t>
      </w:r>
      <w:r w:rsidRPr="350DA976" w:rsidR="11CA08D4">
        <w:rPr>
          <w:rFonts w:ascii="Aptos" w:hAnsi="Aptos" w:eastAsia="Aptos" w:cs="Aptos"/>
          <w:b w:val="1"/>
          <w:bCs w:val="1"/>
          <w:noProof w:val="0"/>
          <w:color w:val="303030"/>
          <w:sz w:val="21"/>
          <w:szCs w:val="21"/>
          <w:lang w:val="en-US"/>
        </w:rPr>
        <w:t>Scobee's three-step test</w:t>
      </w:r>
      <w:r w:rsidRPr="350DA976" w:rsidR="11CA08D4">
        <w:rPr>
          <w:rFonts w:ascii="Aptos" w:hAnsi="Aptos" w:eastAsia="Aptos" w:cs="Aptos"/>
          <w:noProof w:val="0"/>
          <w:color w:val="303030"/>
          <w:sz w:val="21"/>
          <w:szCs w:val="21"/>
          <w:lang w:val="en-US"/>
        </w:rPr>
        <w:t xml:space="preserve"> may provide clearer results. Scobee's method modifies the second step by comparing the vertical deviation in the primary position (distance) versus the adducted position (near), and the third step by asking which eye is fixing when the vertical deviation is greatest.</w:t>
      </w:r>
    </w:p>
    <w:p xmlns:wp14="http://schemas.microsoft.com/office/word/2010/wordml" w:rsidP="350DA976" wp14:paraId="4D36E0B8" wp14:textId="2E14D290">
      <w:pPr>
        <w:pStyle w:val="ListParagraph"/>
        <w:numPr>
          <w:ilvl w:val="0"/>
          <w:numId w:val="3"/>
        </w:numPr>
        <w:spacing w:before="0" w:beforeAutospacing="off" w:after="120" w:afterAutospacing="off"/>
        <w:rPr>
          <w:rFonts w:ascii="Aptos" w:hAnsi="Aptos" w:eastAsia="Aptos" w:cs="Aptos"/>
          <w:noProof w:val="0"/>
          <w:color w:val="303030"/>
          <w:sz w:val="21"/>
          <w:szCs w:val="21"/>
          <w:lang w:val="en-US"/>
        </w:rPr>
      </w:pPr>
      <w:r w:rsidRPr="350DA976" w:rsidR="11CA08D4">
        <w:rPr>
          <w:rFonts w:ascii="Aptos" w:hAnsi="Aptos" w:eastAsia="Aptos" w:cs="Aptos"/>
          <w:b w:val="1"/>
          <w:bCs w:val="1"/>
          <w:noProof w:val="0"/>
          <w:color w:val="303030"/>
          <w:sz w:val="21"/>
          <w:szCs w:val="21"/>
          <w:lang w:val="en-US"/>
        </w:rPr>
        <w:t>Confirming with Torsion:</w:t>
      </w:r>
      <w:r w:rsidRPr="350DA976" w:rsidR="11CA08D4">
        <w:rPr>
          <w:rFonts w:ascii="Aptos" w:hAnsi="Aptos" w:eastAsia="Aptos" w:cs="Aptos"/>
          <w:noProof w:val="0"/>
          <w:color w:val="303030"/>
          <w:sz w:val="21"/>
          <w:szCs w:val="21"/>
          <w:lang w:val="en-US"/>
        </w:rPr>
        <w:t xml:space="preserve"> The most commonly diagnosed palsy using this method is a Superior Oblique palsy. Because the Superior Oblique is a major intortor, a patient will often complain of a tilted image (torsional diplopia). This can be confirmed using the </w:t>
      </w:r>
      <w:r w:rsidRPr="350DA976" w:rsidR="11CA08D4">
        <w:rPr>
          <w:rFonts w:ascii="Aptos" w:hAnsi="Aptos" w:eastAsia="Aptos" w:cs="Aptos"/>
          <w:b w:val="1"/>
          <w:bCs w:val="1"/>
          <w:noProof w:val="0"/>
          <w:color w:val="303030"/>
          <w:sz w:val="21"/>
          <w:szCs w:val="21"/>
          <w:lang w:val="en-US"/>
        </w:rPr>
        <w:t>Double Maddox Rod test</w:t>
      </w:r>
      <w:r w:rsidRPr="350DA976" w:rsidR="11CA08D4">
        <w:rPr>
          <w:rFonts w:ascii="Aptos" w:hAnsi="Aptos" w:eastAsia="Aptos" w:cs="Aptos"/>
          <w:noProof w:val="0"/>
          <w:color w:val="303030"/>
          <w:sz w:val="21"/>
          <w:szCs w:val="21"/>
          <w:lang w:val="en-US"/>
        </w:rPr>
        <w:t xml:space="preserve">. If excyclotorsion is greater than </w:t>
      </w:r>
      <w:r w:rsidRPr="350DA976" w:rsidR="11CA08D4">
        <w:rPr>
          <w:rFonts w:ascii="Times New Roman" w:hAnsi="Times New Roman" w:eastAsia="Times New Roman" w:cs="Times New Roman"/>
          <w:noProof w:val="0"/>
          <w:color w:val="303030"/>
          <w:sz w:val="21"/>
          <w:szCs w:val="21"/>
          <w:lang w:val="en-US"/>
        </w:rPr>
        <w:t>10∘</w:t>
      </w:r>
      <w:r w:rsidRPr="350DA976" w:rsidR="11CA08D4">
        <w:rPr>
          <w:rFonts w:ascii="Aptos" w:hAnsi="Aptos" w:eastAsia="Aptos" w:cs="Aptos"/>
          <w:noProof w:val="0"/>
          <w:color w:val="303030"/>
          <w:sz w:val="21"/>
          <w:szCs w:val="21"/>
          <w:lang w:val="en-US"/>
        </w:rPr>
        <w:t xml:space="preserve"> to </w:t>
      </w:r>
      <w:r w:rsidRPr="350DA976" w:rsidR="11CA08D4">
        <w:rPr>
          <w:rFonts w:ascii="Times New Roman" w:hAnsi="Times New Roman" w:eastAsia="Times New Roman" w:cs="Times New Roman"/>
          <w:noProof w:val="0"/>
          <w:color w:val="303030"/>
          <w:sz w:val="21"/>
          <w:szCs w:val="21"/>
          <w:lang w:val="en-US"/>
        </w:rPr>
        <w:t>12∘</w:t>
      </w:r>
      <w:r w:rsidRPr="350DA976" w:rsidR="11CA08D4">
        <w:rPr>
          <w:rFonts w:ascii="Aptos" w:hAnsi="Aptos" w:eastAsia="Aptos" w:cs="Aptos"/>
          <w:noProof w:val="0"/>
          <w:color w:val="303030"/>
          <w:sz w:val="21"/>
          <w:szCs w:val="21"/>
          <w:lang w:val="en-US"/>
        </w:rPr>
        <w:t>, a bilateral superior oblique palsy should be highly suspected.</w:t>
      </w:r>
    </w:p>
    <w:p xmlns:wp14="http://schemas.microsoft.com/office/word/2010/wordml" w:rsidP="350DA976" wp14:paraId="59273862" wp14:textId="7CC8118C">
      <w:pPr>
        <w:pStyle w:val="ListParagraph"/>
        <w:numPr>
          <w:ilvl w:val="0"/>
          <w:numId w:val="3"/>
        </w:numPr>
        <w:spacing w:before="0" w:beforeAutospacing="off" w:after="120" w:afterAutospacing="off"/>
        <w:rPr>
          <w:rFonts w:ascii="Aptos" w:hAnsi="Aptos" w:eastAsia="Aptos" w:cs="Aptos"/>
          <w:noProof w:val="0"/>
          <w:color w:val="303030"/>
          <w:sz w:val="21"/>
          <w:szCs w:val="21"/>
          <w:lang w:val="en-US"/>
        </w:rPr>
      </w:pPr>
      <w:r w:rsidRPr="350DA976" w:rsidR="11CA08D4">
        <w:rPr>
          <w:rFonts w:ascii="Aptos" w:hAnsi="Aptos" w:eastAsia="Aptos" w:cs="Aptos"/>
          <w:b w:val="1"/>
          <w:bCs w:val="1"/>
          <w:noProof w:val="0"/>
          <w:color w:val="303030"/>
          <w:sz w:val="21"/>
          <w:szCs w:val="21"/>
          <w:lang w:val="en-US"/>
        </w:rPr>
        <w:t>Compensatory Head Posture:</w:t>
      </w:r>
      <w:r w:rsidRPr="350DA976" w:rsidR="11CA08D4">
        <w:rPr>
          <w:rFonts w:ascii="Aptos" w:hAnsi="Aptos" w:eastAsia="Aptos" w:cs="Aptos"/>
          <w:noProof w:val="0"/>
          <w:color w:val="303030"/>
          <w:sz w:val="21"/>
          <w:szCs w:val="21"/>
          <w:lang w:val="en-US"/>
        </w:rPr>
        <w:t xml:space="preserve"> Patients with a superior oblique palsy will frequently adopt a compensatory head tilt away from the affected side (e.g., a left head tilt for a right superior oblique palsy) to avoid utilizing the paretic muscle and to maintain binocular single vision</w:t>
      </w:r>
    </w:p>
    <w:p xmlns:wp14="http://schemas.microsoft.com/office/word/2010/wordml" wp14:paraId="2C078E63" wp14:textId="6C6F1777"/>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
    <w:nsid w:val="37e1b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52640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e80b7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D110265"/>
    <w:rsid w:val="11CA08D4"/>
    <w:rsid w:val="350DA976"/>
    <w:rsid w:val="5D1102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FF4E8"/>
  <w15:chartTrackingRefBased/>
  <w15:docId w15:val="{FA2A0F7F-9486-418F-9B52-E195F8A81F4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350DA976"/>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ec7854e899a1431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2026-03-15T07:46:34.7048858Z</dcterms:created>
  <dcterms:modified xsi:type="dcterms:W3CDTF">2026-03-15T07:46:53.9723888Z</dcterms:modified>
  <dc:creator>Naganathan Muthuramalingam</dc:creator>
  <lastModifiedBy>Naganathan Muthuramalingam</lastModifiedBy>
</coreProperties>
</file>