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5C0267C" wp14:paraId="68E93256" wp14:textId="4FF316FB">
      <w:pPr>
        <w:spacing w:before="240" w:beforeAutospacing="off" w:after="120" w:afterAutospacing="off"/>
      </w:pPr>
      <w:r w:rsidRPr="35C0267C" w:rsidR="2DB6F71A">
        <w:rPr>
          <w:rFonts w:ascii="Aptos" w:hAnsi="Aptos" w:eastAsia="Aptos" w:cs="Aptos"/>
          <w:b w:val="1"/>
          <w:bCs w:val="1"/>
          <w:noProof w:val="0"/>
          <w:color w:val="303030"/>
          <w:sz w:val="21"/>
          <w:szCs w:val="21"/>
          <w:lang w:val="en-US"/>
        </w:rPr>
        <w:t>The 20 Prism Diopter (</w:t>
      </w:r>
      <w:r w:rsidRPr="35C0267C" w:rsidR="2DB6F71A">
        <w:rPr>
          <w:rFonts w:ascii="Times New Roman" w:hAnsi="Times New Roman" w:eastAsia="Times New Roman" w:cs="Times New Roman"/>
          <w:b w:val="0"/>
          <w:bCs w:val="0"/>
          <w:noProof w:val="0"/>
          <w:color w:val="303030"/>
          <w:sz w:val="21"/>
          <w:szCs w:val="21"/>
          <w:lang w:val="en-US"/>
        </w:rPr>
        <w:t>20Δ</w:t>
      </w:r>
      <w:r w:rsidRPr="35C0267C" w:rsidR="2DB6F71A">
        <w:rPr>
          <w:rFonts w:ascii="Aptos" w:hAnsi="Aptos" w:eastAsia="Aptos" w:cs="Aptos"/>
          <w:b w:val="1"/>
          <w:bCs w:val="1"/>
          <w:noProof w:val="0"/>
          <w:color w:val="303030"/>
          <w:sz w:val="21"/>
          <w:szCs w:val="21"/>
          <w:lang w:val="en-US"/>
        </w:rPr>
        <w:t>) Fusion Test (Prism Reflex Test)</w:t>
      </w:r>
    </w:p>
    <w:p xmlns:wp14="http://schemas.microsoft.com/office/word/2010/wordml" w:rsidP="35C0267C" wp14:paraId="11D627CE" wp14:textId="0C2D237C">
      <w:pPr>
        <w:spacing w:before="0" w:beforeAutospacing="off" w:after="120" w:afterAutospacing="off"/>
      </w:pPr>
      <w:r w:rsidRPr="35C0267C" w:rsidR="2DB6F71A">
        <w:rPr>
          <w:rFonts w:ascii="Aptos" w:hAnsi="Aptos" w:eastAsia="Aptos" w:cs="Aptos"/>
          <w:b w:val="1"/>
          <w:bCs w:val="1"/>
          <w:noProof w:val="0"/>
          <w:color w:val="303030"/>
          <w:sz w:val="21"/>
          <w:szCs w:val="21"/>
          <w:lang w:val="en-US"/>
        </w:rPr>
        <w:t>Equipment Needed:</w:t>
      </w:r>
      <w:r w:rsidRPr="35C0267C" w:rsidR="2DB6F71A">
        <w:rPr>
          <w:rFonts w:ascii="Aptos" w:hAnsi="Aptos" w:eastAsia="Aptos" w:cs="Aptos"/>
          <w:noProof w:val="0"/>
          <w:color w:val="303030"/>
          <w:sz w:val="21"/>
          <w:szCs w:val="21"/>
          <w:lang w:val="en-US"/>
        </w:rPr>
        <w:t xml:space="preserve"> A </w:t>
      </w:r>
      <w:r w:rsidRPr="35C0267C" w:rsidR="2DB6F71A">
        <w:rPr>
          <w:rFonts w:ascii="Times New Roman" w:hAnsi="Times New Roman" w:eastAsia="Times New Roman" w:cs="Times New Roman"/>
          <w:noProof w:val="0"/>
          <w:color w:val="303030"/>
          <w:sz w:val="21"/>
          <w:szCs w:val="21"/>
          <w:lang w:val="en-US"/>
        </w:rPr>
        <w:t>15Δ</w:t>
      </w:r>
      <w:r w:rsidRPr="35C0267C" w:rsidR="2DB6F71A">
        <w:rPr>
          <w:rFonts w:ascii="Aptos" w:hAnsi="Aptos" w:eastAsia="Aptos" w:cs="Aptos"/>
          <w:noProof w:val="0"/>
          <w:color w:val="303030"/>
          <w:sz w:val="21"/>
          <w:szCs w:val="21"/>
          <w:lang w:val="en-US"/>
        </w:rPr>
        <w:t xml:space="preserve"> or </w:t>
      </w:r>
      <w:r w:rsidRPr="35C0267C" w:rsidR="2DB6F71A">
        <w:rPr>
          <w:rFonts w:ascii="Times New Roman" w:hAnsi="Times New Roman" w:eastAsia="Times New Roman" w:cs="Times New Roman"/>
          <w:noProof w:val="0"/>
          <w:color w:val="303030"/>
          <w:sz w:val="21"/>
          <w:szCs w:val="21"/>
          <w:lang w:val="en-US"/>
        </w:rPr>
        <w:t>20Δ</w:t>
      </w:r>
      <w:r w:rsidRPr="35C0267C" w:rsidR="2DB6F71A">
        <w:rPr>
          <w:rFonts w:ascii="Aptos" w:hAnsi="Aptos" w:eastAsia="Aptos" w:cs="Aptos"/>
          <w:noProof w:val="0"/>
          <w:color w:val="303030"/>
          <w:sz w:val="21"/>
          <w:szCs w:val="21"/>
          <w:lang w:val="en-US"/>
        </w:rPr>
        <w:t xml:space="preserve"> loose prism and a detailed near fixation target.</w:t>
      </w:r>
    </w:p>
    <w:p xmlns:wp14="http://schemas.microsoft.com/office/word/2010/wordml" w:rsidP="35C0267C" wp14:paraId="71BE5A44" wp14:textId="61C3DA62">
      <w:pPr>
        <w:spacing w:before="0" w:beforeAutospacing="off" w:after="120" w:afterAutospacing="off"/>
      </w:pPr>
      <w:r w:rsidRPr="35C0267C" w:rsidR="2DB6F71A">
        <w:rPr>
          <w:rFonts w:ascii="Aptos" w:hAnsi="Aptos" w:eastAsia="Aptos" w:cs="Aptos"/>
          <w:b w:val="1"/>
          <w:bCs w:val="1"/>
          <w:noProof w:val="0"/>
          <w:color w:val="303030"/>
          <w:sz w:val="21"/>
          <w:szCs w:val="21"/>
          <w:lang w:val="en-US"/>
        </w:rPr>
        <w:t>I. Purpose and Principles</w:t>
      </w:r>
    </w:p>
    <w:p xmlns:wp14="http://schemas.microsoft.com/office/word/2010/wordml" w:rsidP="35C0267C" wp14:paraId="550C5DFD" wp14:textId="6793B1C9">
      <w:pPr>
        <w:pStyle w:val="ListParagraph"/>
        <w:numPr>
          <w:ilvl w:val="0"/>
          <w:numId w:val="1"/>
        </w:numPr>
        <w:spacing w:before="0" w:beforeAutospacing="off" w:after="120" w:afterAutospacing="off"/>
        <w:rPr>
          <w:rFonts w:ascii="Aptos" w:hAnsi="Aptos" w:eastAsia="Aptos" w:cs="Aptos"/>
          <w:noProof w:val="0"/>
          <w:color w:val="303030"/>
          <w:sz w:val="21"/>
          <w:szCs w:val="21"/>
          <w:lang w:val="en-US"/>
        </w:rPr>
      </w:pPr>
      <w:r w:rsidRPr="35C0267C" w:rsidR="2DB6F71A">
        <w:rPr>
          <w:rFonts w:ascii="Aptos" w:hAnsi="Aptos" w:eastAsia="Aptos" w:cs="Aptos"/>
          <w:b w:val="1"/>
          <w:bCs w:val="1"/>
          <w:noProof w:val="0"/>
          <w:color w:val="303030"/>
          <w:sz w:val="21"/>
          <w:szCs w:val="21"/>
          <w:lang w:val="en-US"/>
        </w:rPr>
        <w:t>Clinical Value:</w:t>
      </w:r>
      <w:r w:rsidRPr="35C0267C" w:rsidR="2DB6F71A">
        <w:rPr>
          <w:rFonts w:ascii="Aptos" w:hAnsi="Aptos" w:eastAsia="Aptos" w:cs="Aptos"/>
          <w:noProof w:val="0"/>
          <w:color w:val="303030"/>
          <w:sz w:val="21"/>
          <w:szCs w:val="21"/>
          <w:lang w:val="en-US"/>
        </w:rPr>
        <w:t xml:space="preserve"> This is a rapid, objective screening test used to evaluate the patient's ability to make a fusional vergence movement to maintain Binocular Single Vision (BSV).</w:t>
      </w:r>
    </w:p>
    <w:p xmlns:wp14="http://schemas.microsoft.com/office/word/2010/wordml" w:rsidP="35C0267C" wp14:paraId="20BD26BE" wp14:textId="2D04BA5B">
      <w:pPr>
        <w:pStyle w:val="ListParagraph"/>
        <w:numPr>
          <w:ilvl w:val="0"/>
          <w:numId w:val="1"/>
        </w:numPr>
        <w:spacing w:before="0" w:beforeAutospacing="off" w:after="120" w:afterAutospacing="off"/>
        <w:rPr>
          <w:rFonts w:ascii="Aptos" w:hAnsi="Aptos" w:eastAsia="Aptos" w:cs="Aptos"/>
          <w:noProof w:val="0"/>
          <w:color w:val="303030"/>
          <w:sz w:val="21"/>
          <w:szCs w:val="21"/>
          <w:lang w:val="en-US"/>
        </w:rPr>
      </w:pPr>
      <w:r w:rsidRPr="35C0267C" w:rsidR="2DB6F71A">
        <w:rPr>
          <w:rFonts w:ascii="Aptos" w:hAnsi="Aptos" w:eastAsia="Aptos" w:cs="Aptos"/>
          <w:b w:val="1"/>
          <w:bCs w:val="1"/>
          <w:noProof w:val="0"/>
          <w:color w:val="303030"/>
          <w:sz w:val="21"/>
          <w:szCs w:val="21"/>
          <w:lang w:val="en-US"/>
        </w:rPr>
        <w:t>Pediatric Application:</w:t>
      </w:r>
      <w:r w:rsidRPr="35C0267C" w:rsidR="2DB6F71A">
        <w:rPr>
          <w:rFonts w:ascii="Aptos" w:hAnsi="Aptos" w:eastAsia="Aptos" w:cs="Aptos"/>
          <w:noProof w:val="0"/>
          <w:color w:val="303030"/>
          <w:sz w:val="21"/>
          <w:szCs w:val="21"/>
          <w:lang w:val="en-US"/>
        </w:rPr>
        <w:t xml:space="preserve"> Because it requires no verbal input, it is an excellent tool for assessing motor fusion in pre-verbal children (6 months of age and older) and patients who cannot cooperate with subjective sensory tests.</w:t>
      </w:r>
    </w:p>
    <w:p xmlns:wp14="http://schemas.microsoft.com/office/word/2010/wordml" w:rsidP="35C0267C" wp14:paraId="08BCED4B" wp14:textId="70DFBB92">
      <w:pPr>
        <w:pStyle w:val="ListParagraph"/>
        <w:numPr>
          <w:ilvl w:val="0"/>
          <w:numId w:val="1"/>
        </w:numPr>
        <w:spacing w:before="0" w:beforeAutospacing="off" w:after="120" w:afterAutospacing="off"/>
        <w:rPr>
          <w:rFonts w:ascii="Aptos" w:hAnsi="Aptos" w:eastAsia="Aptos" w:cs="Aptos"/>
          <w:noProof w:val="0"/>
          <w:color w:val="303030"/>
          <w:sz w:val="21"/>
          <w:szCs w:val="21"/>
          <w:lang w:val="en-US"/>
        </w:rPr>
      </w:pPr>
      <w:r w:rsidRPr="35C0267C" w:rsidR="2DB6F71A">
        <w:rPr>
          <w:rFonts w:ascii="Aptos" w:hAnsi="Aptos" w:eastAsia="Aptos" w:cs="Aptos"/>
          <w:b w:val="1"/>
          <w:bCs w:val="1"/>
          <w:noProof w:val="0"/>
          <w:color w:val="303030"/>
          <w:sz w:val="21"/>
          <w:szCs w:val="21"/>
          <w:lang w:val="en-US"/>
        </w:rPr>
        <w:t>Physiological Basis:</w:t>
      </w:r>
      <w:r w:rsidRPr="35C0267C" w:rsidR="2DB6F71A">
        <w:rPr>
          <w:rFonts w:ascii="Aptos" w:hAnsi="Aptos" w:eastAsia="Aptos" w:cs="Aptos"/>
          <w:noProof w:val="0"/>
          <w:color w:val="303030"/>
          <w:sz w:val="21"/>
          <w:szCs w:val="21"/>
          <w:lang w:val="en-US"/>
        </w:rPr>
        <w:t xml:space="preserve"> Placing a base-out prism in front of an eye shifts the retinal image nasally. If normal sensory and motor fusion are intact, this disparity immediately triggers a reflex vergence movement (adduction) to place the image back onto the fovea and prevent diplopia.</w:t>
      </w:r>
    </w:p>
    <w:p xmlns:wp14="http://schemas.microsoft.com/office/word/2010/wordml" w:rsidP="35C0267C" wp14:paraId="48E0882A" wp14:textId="2C6B7BA0">
      <w:pPr>
        <w:spacing w:before="0" w:beforeAutospacing="off" w:after="120" w:afterAutospacing="off"/>
      </w:pPr>
      <w:r w:rsidRPr="35C0267C" w:rsidR="2DB6F71A">
        <w:rPr>
          <w:rFonts w:ascii="Aptos" w:hAnsi="Aptos" w:eastAsia="Aptos" w:cs="Aptos"/>
          <w:b w:val="1"/>
          <w:bCs w:val="1"/>
          <w:noProof w:val="0"/>
          <w:color w:val="303030"/>
          <w:sz w:val="21"/>
          <w:szCs w:val="21"/>
          <w:lang w:val="en-US"/>
        </w:rPr>
        <w:t>II. Procedure</w:t>
      </w:r>
    </w:p>
    <w:p xmlns:wp14="http://schemas.microsoft.com/office/word/2010/wordml" w:rsidP="35C0267C" wp14:paraId="3219B791" wp14:textId="7A8D1EEC">
      <w:pPr>
        <w:pStyle w:val="ListParagraph"/>
        <w:numPr>
          <w:ilvl w:val="0"/>
          <w:numId w:val="2"/>
        </w:numPr>
        <w:spacing w:before="0" w:beforeAutospacing="off" w:after="120" w:afterAutospacing="off"/>
        <w:rPr>
          <w:rFonts w:ascii="Aptos" w:hAnsi="Aptos" w:eastAsia="Aptos" w:cs="Aptos"/>
          <w:noProof w:val="0"/>
          <w:color w:val="303030"/>
          <w:sz w:val="21"/>
          <w:szCs w:val="21"/>
          <w:lang w:val="en-US"/>
        </w:rPr>
      </w:pPr>
      <w:r w:rsidRPr="35C0267C" w:rsidR="2DB6F71A">
        <w:rPr>
          <w:rFonts w:ascii="Aptos" w:hAnsi="Aptos" w:eastAsia="Aptos" w:cs="Aptos"/>
          <w:noProof w:val="0"/>
          <w:color w:val="303030"/>
          <w:sz w:val="21"/>
          <w:szCs w:val="21"/>
          <w:lang w:val="en-US"/>
        </w:rPr>
        <w:t>Instruct the patient to fixate on the detailed near target.</w:t>
      </w:r>
    </w:p>
    <w:p xmlns:wp14="http://schemas.microsoft.com/office/word/2010/wordml" w:rsidP="35C0267C" wp14:paraId="2985ED2D" wp14:textId="38EFC265">
      <w:pPr>
        <w:pStyle w:val="ListParagraph"/>
        <w:numPr>
          <w:ilvl w:val="0"/>
          <w:numId w:val="2"/>
        </w:numPr>
        <w:spacing w:before="0" w:beforeAutospacing="off" w:after="120" w:afterAutospacing="off"/>
        <w:rPr>
          <w:rFonts w:ascii="Aptos" w:hAnsi="Aptos" w:eastAsia="Aptos" w:cs="Aptos"/>
          <w:noProof w:val="0"/>
          <w:color w:val="303030"/>
          <w:sz w:val="21"/>
          <w:szCs w:val="21"/>
          <w:lang w:val="en-US"/>
        </w:rPr>
      </w:pPr>
      <w:r w:rsidRPr="35C0267C" w:rsidR="2DB6F71A">
        <w:rPr>
          <w:rFonts w:ascii="Aptos" w:hAnsi="Aptos" w:eastAsia="Aptos" w:cs="Aptos"/>
          <w:noProof w:val="0"/>
          <w:color w:val="303030"/>
          <w:sz w:val="21"/>
          <w:szCs w:val="21"/>
          <w:lang w:val="en-US"/>
        </w:rPr>
        <w:t xml:space="preserve">Rapidly introduce the </w:t>
      </w:r>
      <w:r w:rsidRPr="35C0267C" w:rsidR="2DB6F71A">
        <w:rPr>
          <w:rFonts w:ascii="Times New Roman" w:hAnsi="Times New Roman" w:eastAsia="Times New Roman" w:cs="Times New Roman"/>
          <w:noProof w:val="0"/>
          <w:color w:val="303030"/>
          <w:sz w:val="21"/>
          <w:szCs w:val="21"/>
          <w:lang w:val="en-US"/>
        </w:rPr>
        <w:t>20Δ</w:t>
      </w:r>
      <w:r w:rsidRPr="35C0267C" w:rsidR="2DB6F71A">
        <w:rPr>
          <w:rFonts w:ascii="Aptos" w:hAnsi="Aptos" w:eastAsia="Aptos" w:cs="Aptos"/>
          <w:noProof w:val="0"/>
          <w:color w:val="303030"/>
          <w:sz w:val="21"/>
          <w:szCs w:val="21"/>
          <w:lang w:val="en-US"/>
        </w:rPr>
        <w:t xml:space="preserve"> prism </w:t>
      </w:r>
      <w:r w:rsidRPr="35C0267C" w:rsidR="2DB6F71A">
        <w:rPr>
          <w:rFonts w:ascii="Aptos" w:hAnsi="Aptos" w:eastAsia="Aptos" w:cs="Aptos"/>
          <w:b w:val="1"/>
          <w:bCs w:val="1"/>
          <w:noProof w:val="0"/>
          <w:color w:val="303030"/>
          <w:sz w:val="21"/>
          <w:szCs w:val="21"/>
          <w:lang w:val="en-US"/>
        </w:rPr>
        <w:t>base-out</w:t>
      </w:r>
      <w:r w:rsidRPr="35C0267C" w:rsidR="2DB6F71A">
        <w:rPr>
          <w:rFonts w:ascii="Aptos" w:hAnsi="Aptos" w:eastAsia="Aptos" w:cs="Aptos"/>
          <w:noProof w:val="0"/>
          <w:color w:val="303030"/>
          <w:sz w:val="21"/>
          <w:szCs w:val="21"/>
          <w:lang w:val="en-US"/>
        </w:rPr>
        <w:t xml:space="preserve"> (base oriented horizontally towards the ear) in front of the right eye.</w:t>
      </w:r>
    </w:p>
    <w:p xmlns:wp14="http://schemas.microsoft.com/office/word/2010/wordml" w:rsidP="35C0267C" wp14:paraId="64BA2B35" wp14:textId="3CE52026">
      <w:pPr>
        <w:pStyle w:val="ListParagraph"/>
        <w:numPr>
          <w:ilvl w:val="0"/>
          <w:numId w:val="2"/>
        </w:numPr>
        <w:spacing w:before="0" w:beforeAutospacing="off" w:after="120" w:afterAutospacing="off"/>
        <w:rPr>
          <w:rFonts w:ascii="Aptos" w:hAnsi="Aptos" w:eastAsia="Aptos" w:cs="Aptos"/>
          <w:noProof w:val="0"/>
          <w:color w:val="303030"/>
          <w:sz w:val="21"/>
          <w:szCs w:val="21"/>
          <w:lang w:val="en-US"/>
        </w:rPr>
      </w:pPr>
      <w:r w:rsidRPr="35C0267C" w:rsidR="2DB6F71A">
        <w:rPr>
          <w:rFonts w:ascii="Aptos" w:hAnsi="Aptos" w:eastAsia="Aptos" w:cs="Aptos"/>
          <w:noProof w:val="0"/>
          <w:color w:val="303030"/>
          <w:sz w:val="21"/>
          <w:szCs w:val="21"/>
          <w:lang w:val="en-US"/>
        </w:rPr>
        <w:t>Carefully observe the movements of both the eye under the prism and the fellow eye.</w:t>
      </w:r>
    </w:p>
    <w:p xmlns:wp14="http://schemas.microsoft.com/office/word/2010/wordml" w:rsidP="35C0267C" wp14:paraId="05F48CA5" wp14:textId="7B8E9184">
      <w:pPr>
        <w:pStyle w:val="ListParagraph"/>
        <w:numPr>
          <w:ilvl w:val="0"/>
          <w:numId w:val="2"/>
        </w:numPr>
        <w:spacing w:before="0" w:beforeAutospacing="off" w:after="120" w:afterAutospacing="off"/>
        <w:rPr>
          <w:rFonts w:ascii="Aptos" w:hAnsi="Aptos" w:eastAsia="Aptos" w:cs="Aptos"/>
          <w:noProof w:val="0"/>
          <w:color w:val="303030"/>
          <w:sz w:val="21"/>
          <w:szCs w:val="21"/>
          <w:lang w:val="en-US"/>
        </w:rPr>
      </w:pPr>
      <w:r w:rsidRPr="35C0267C" w:rsidR="2DB6F71A">
        <w:rPr>
          <w:rFonts w:ascii="Aptos" w:hAnsi="Aptos" w:eastAsia="Aptos" w:cs="Aptos"/>
          <w:noProof w:val="0"/>
          <w:color w:val="303030"/>
          <w:sz w:val="21"/>
          <w:szCs w:val="21"/>
          <w:lang w:val="en-US"/>
        </w:rPr>
        <w:t>Remove the prism and allow a brief pause for the patient's fusion to stabilize.</w:t>
      </w:r>
    </w:p>
    <w:p xmlns:wp14="http://schemas.microsoft.com/office/word/2010/wordml" w:rsidP="35C0267C" wp14:paraId="48B3D971" wp14:textId="6F553A7D">
      <w:pPr>
        <w:pStyle w:val="ListParagraph"/>
        <w:numPr>
          <w:ilvl w:val="0"/>
          <w:numId w:val="2"/>
        </w:numPr>
        <w:spacing w:before="0" w:beforeAutospacing="off" w:after="120" w:afterAutospacing="off"/>
        <w:rPr>
          <w:rFonts w:ascii="Aptos" w:hAnsi="Aptos" w:eastAsia="Aptos" w:cs="Aptos"/>
          <w:noProof w:val="0"/>
          <w:color w:val="303030"/>
          <w:sz w:val="21"/>
          <w:szCs w:val="21"/>
          <w:lang w:val="en-US"/>
        </w:rPr>
      </w:pPr>
      <w:r w:rsidRPr="35C0267C" w:rsidR="2DB6F71A">
        <w:rPr>
          <w:rFonts w:ascii="Aptos" w:hAnsi="Aptos" w:eastAsia="Aptos" w:cs="Aptos"/>
          <w:noProof w:val="0"/>
          <w:color w:val="303030"/>
          <w:sz w:val="21"/>
          <w:szCs w:val="21"/>
          <w:lang w:val="en-US"/>
        </w:rPr>
        <w:t>Repeat the test by placing the prism base-out in front of the left eye.</w:t>
      </w:r>
    </w:p>
    <w:p xmlns:wp14="http://schemas.microsoft.com/office/word/2010/wordml" w:rsidP="35C0267C" wp14:paraId="05D37B56" wp14:textId="7EAE16AA">
      <w:pPr>
        <w:spacing w:before="0" w:beforeAutospacing="off" w:after="120" w:afterAutospacing="off"/>
      </w:pPr>
      <w:r w:rsidRPr="35C0267C" w:rsidR="2DB6F71A">
        <w:rPr>
          <w:rFonts w:ascii="Aptos" w:hAnsi="Aptos" w:eastAsia="Aptos" w:cs="Aptos"/>
          <w:b w:val="1"/>
          <w:bCs w:val="1"/>
          <w:noProof w:val="0"/>
          <w:color w:val="303030"/>
          <w:sz w:val="21"/>
          <w:szCs w:val="21"/>
          <w:lang w:val="en-US"/>
        </w:rPr>
        <w:t>III. Clinical Observation &amp; Interpretation</w:t>
      </w:r>
    </w:p>
    <w:p xmlns:wp14="http://schemas.microsoft.com/office/word/2010/wordml" w:rsidP="35C0267C" wp14:paraId="52A88D5C" wp14:textId="557DC7E1">
      <w:pPr>
        <w:pStyle w:val="ListParagraph"/>
        <w:numPr>
          <w:ilvl w:val="0"/>
          <w:numId w:val="3"/>
        </w:numPr>
        <w:spacing w:before="0" w:beforeAutospacing="off" w:after="120" w:afterAutospacing="off"/>
        <w:rPr>
          <w:rFonts w:ascii="Aptos" w:hAnsi="Aptos" w:eastAsia="Aptos" w:cs="Aptos"/>
          <w:noProof w:val="0"/>
          <w:color w:val="303030"/>
          <w:sz w:val="21"/>
          <w:szCs w:val="21"/>
          <w:lang w:val="en-US"/>
        </w:rPr>
      </w:pPr>
      <w:r w:rsidRPr="35C0267C" w:rsidR="2DB6F71A">
        <w:rPr>
          <w:rFonts w:ascii="Aptos" w:hAnsi="Aptos" w:eastAsia="Aptos" w:cs="Aptos"/>
          <w:b w:val="1"/>
          <w:bCs w:val="1"/>
          <w:noProof w:val="0"/>
          <w:color w:val="303030"/>
          <w:sz w:val="21"/>
          <w:szCs w:val="21"/>
          <w:lang w:val="en-US"/>
        </w:rPr>
        <w:t>Normal Response (BSV is Present):</w:t>
      </w:r>
      <w:r w:rsidRPr="35C0267C" w:rsidR="2DB6F71A">
        <w:rPr>
          <w:rFonts w:ascii="Aptos" w:hAnsi="Aptos" w:eastAsia="Aptos" w:cs="Aptos"/>
          <w:noProof w:val="0"/>
          <w:color w:val="303030"/>
          <w:sz w:val="21"/>
          <w:szCs w:val="21"/>
          <w:lang w:val="en-US"/>
        </w:rPr>
        <w:t xml:space="preserve"> To maintain single vision, the eyes must converge. You will typically observe a horizontal version movement of both eyes moving away from the side of the prism, followed immediately by a fusional vergence (adduction) movement of the eye </w:t>
      </w:r>
      <w:r w:rsidRPr="35C0267C" w:rsidR="2DB6F71A">
        <w:rPr>
          <w:rFonts w:ascii="Aptos" w:hAnsi="Aptos" w:eastAsia="Aptos" w:cs="Aptos"/>
          <w:i w:val="1"/>
          <w:iCs w:val="1"/>
          <w:noProof w:val="0"/>
          <w:color w:val="303030"/>
          <w:sz w:val="21"/>
          <w:szCs w:val="21"/>
          <w:lang w:val="en-US"/>
        </w:rPr>
        <w:t>not</w:t>
      </w:r>
      <w:r w:rsidRPr="35C0267C" w:rsidR="2DB6F71A">
        <w:rPr>
          <w:rFonts w:ascii="Aptos" w:hAnsi="Aptos" w:eastAsia="Aptos" w:cs="Aptos"/>
          <w:noProof w:val="0"/>
          <w:color w:val="303030"/>
          <w:sz w:val="21"/>
          <w:szCs w:val="21"/>
          <w:lang w:val="en-US"/>
        </w:rPr>
        <w:t xml:space="preserve"> behind the prism to take up fixation.</w:t>
      </w:r>
    </w:p>
    <w:p xmlns:wp14="http://schemas.microsoft.com/office/word/2010/wordml" w:rsidP="35C0267C" wp14:paraId="46444747" wp14:textId="7021DCC1">
      <w:pPr>
        <w:pStyle w:val="ListParagraph"/>
        <w:numPr>
          <w:ilvl w:val="1"/>
          <w:numId w:val="3"/>
        </w:numPr>
        <w:spacing w:before="0" w:beforeAutospacing="off" w:after="120" w:afterAutospacing="off"/>
        <w:rPr>
          <w:rFonts w:ascii="Aptos" w:hAnsi="Aptos" w:eastAsia="Aptos" w:cs="Aptos"/>
          <w:noProof w:val="0"/>
          <w:color w:val="303030"/>
          <w:sz w:val="21"/>
          <w:szCs w:val="21"/>
          <w:lang w:val="en-US"/>
        </w:rPr>
      </w:pPr>
      <w:r w:rsidRPr="35C0267C" w:rsidR="2DB6F71A">
        <w:rPr>
          <w:rFonts w:ascii="Aptos" w:hAnsi="Aptos" w:eastAsia="Aptos" w:cs="Aptos"/>
          <w:i w:val="1"/>
          <w:iCs w:val="1"/>
          <w:noProof w:val="0"/>
          <w:color w:val="303030"/>
          <w:sz w:val="21"/>
          <w:szCs w:val="21"/>
          <w:lang w:val="en-US"/>
        </w:rPr>
        <w:t>Quality Check:</w:t>
      </w:r>
      <w:r w:rsidRPr="35C0267C" w:rsidR="2DB6F71A">
        <w:rPr>
          <w:rFonts w:ascii="Aptos" w:hAnsi="Aptos" w:eastAsia="Aptos" w:cs="Aptos"/>
          <w:noProof w:val="0"/>
          <w:color w:val="303030"/>
          <w:sz w:val="21"/>
          <w:szCs w:val="21"/>
          <w:lang w:val="en-US"/>
        </w:rPr>
        <w:t xml:space="preserve"> Beyond simply noting if the eyes move inward, assess the number of movements, the smoothness, and the speed of re-taking fixation to gauge the overall </w:t>
      </w:r>
      <w:r w:rsidRPr="35C0267C" w:rsidR="2DB6F71A">
        <w:rPr>
          <w:rFonts w:ascii="Aptos" w:hAnsi="Aptos" w:eastAsia="Aptos" w:cs="Aptos"/>
          <w:i w:val="1"/>
          <w:iCs w:val="1"/>
          <w:noProof w:val="0"/>
          <w:color w:val="303030"/>
          <w:sz w:val="21"/>
          <w:szCs w:val="21"/>
          <w:lang w:val="en-US"/>
        </w:rPr>
        <w:t>quality</w:t>
      </w:r>
      <w:r w:rsidRPr="35C0267C" w:rsidR="2DB6F71A">
        <w:rPr>
          <w:rFonts w:ascii="Aptos" w:hAnsi="Aptos" w:eastAsia="Aptos" w:cs="Aptos"/>
          <w:noProof w:val="0"/>
          <w:color w:val="303030"/>
          <w:sz w:val="21"/>
          <w:szCs w:val="21"/>
          <w:lang w:val="en-US"/>
        </w:rPr>
        <w:t xml:space="preserve"> and robustness of the patient's fusion.</w:t>
      </w:r>
    </w:p>
    <w:p xmlns:wp14="http://schemas.microsoft.com/office/word/2010/wordml" w:rsidP="35C0267C" wp14:paraId="2F1AE21E" wp14:textId="050369A5">
      <w:pPr>
        <w:pStyle w:val="ListParagraph"/>
        <w:numPr>
          <w:ilvl w:val="0"/>
          <w:numId w:val="3"/>
        </w:numPr>
        <w:spacing w:before="0" w:beforeAutospacing="off" w:after="120" w:afterAutospacing="off"/>
        <w:rPr>
          <w:rFonts w:ascii="Aptos" w:hAnsi="Aptos" w:eastAsia="Aptos" w:cs="Aptos"/>
          <w:b w:val="1"/>
          <w:bCs w:val="1"/>
          <w:noProof w:val="0"/>
          <w:color w:val="303030"/>
          <w:sz w:val="21"/>
          <w:szCs w:val="21"/>
          <w:lang w:val="en-US"/>
        </w:rPr>
      </w:pPr>
      <w:r w:rsidRPr="35C0267C" w:rsidR="2DB6F71A">
        <w:rPr>
          <w:rFonts w:ascii="Aptos" w:hAnsi="Aptos" w:eastAsia="Aptos" w:cs="Aptos"/>
          <w:b w:val="1"/>
          <w:bCs w:val="1"/>
          <w:noProof w:val="0"/>
          <w:color w:val="303030"/>
          <w:sz w:val="21"/>
          <w:szCs w:val="21"/>
          <w:lang w:val="en-US"/>
        </w:rPr>
        <w:t>Abnormal Response (BSV is Absent / Suppression):</w:t>
      </w:r>
    </w:p>
    <w:p xmlns:wp14="http://schemas.microsoft.com/office/word/2010/wordml" w:rsidP="35C0267C" wp14:paraId="755AB163" wp14:textId="405D1807">
      <w:pPr>
        <w:pStyle w:val="ListParagraph"/>
        <w:numPr>
          <w:ilvl w:val="1"/>
          <w:numId w:val="3"/>
        </w:numPr>
        <w:spacing w:before="0" w:beforeAutospacing="off" w:after="120" w:afterAutospacing="off"/>
        <w:rPr>
          <w:rFonts w:ascii="Aptos" w:hAnsi="Aptos" w:eastAsia="Aptos" w:cs="Aptos"/>
          <w:noProof w:val="0"/>
          <w:color w:val="303030"/>
          <w:sz w:val="21"/>
          <w:szCs w:val="21"/>
          <w:lang w:val="en-US"/>
        </w:rPr>
      </w:pPr>
      <w:r w:rsidRPr="35C0267C" w:rsidR="2DB6F71A">
        <w:rPr>
          <w:rFonts w:ascii="Aptos" w:hAnsi="Aptos" w:eastAsia="Aptos" w:cs="Aptos"/>
          <w:i w:val="1"/>
          <w:iCs w:val="1"/>
          <w:noProof w:val="0"/>
          <w:color w:val="303030"/>
          <w:sz w:val="21"/>
          <w:szCs w:val="21"/>
          <w:lang w:val="en-US"/>
        </w:rPr>
        <w:t>Prism over the Non-Fixing (Suppressed) Eye:</w:t>
      </w:r>
      <w:r w:rsidRPr="35C0267C" w:rsidR="2DB6F71A">
        <w:rPr>
          <w:rFonts w:ascii="Aptos" w:hAnsi="Aptos" w:eastAsia="Aptos" w:cs="Aptos"/>
          <w:noProof w:val="0"/>
          <w:color w:val="303030"/>
          <w:sz w:val="21"/>
          <w:szCs w:val="21"/>
          <w:lang w:val="en-US"/>
        </w:rPr>
        <w:t xml:space="preserve"> If the prism is placed in front of an eye that is already suppressing, the image shift is not perceived by the brain, and </w:t>
      </w:r>
      <w:r w:rsidRPr="35C0267C" w:rsidR="2DB6F71A">
        <w:rPr>
          <w:rFonts w:ascii="Aptos" w:hAnsi="Aptos" w:eastAsia="Aptos" w:cs="Aptos"/>
          <w:b w:val="1"/>
          <w:bCs w:val="1"/>
          <w:noProof w:val="0"/>
          <w:color w:val="303030"/>
          <w:sz w:val="21"/>
          <w:szCs w:val="21"/>
          <w:lang w:val="en-US"/>
        </w:rPr>
        <w:t>no movement</w:t>
      </w:r>
      <w:r w:rsidRPr="35C0267C" w:rsidR="2DB6F71A">
        <w:rPr>
          <w:rFonts w:ascii="Aptos" w:hAnsi="Aptos" w:eastAsia="Aptos" w:cs="Aptos"/>
          <w:noProof w:val="0"/>
          <w:color w:val="303030"/>
          <w:sz w:val="21"/>
          <w:szCs w:val="21"/>
          <w:lang w:val="en-US"/>
        </w:rPr>
        <w:t xml:space="preserve"> of either eye will be observed.</w:t>
      </w:r>
    </w:p>
    <w:p xmlns:wp14="http://schemas.microsoft.com/office/word/2010/wordml" w:rsidP="35C0267C" wp14:paraId="27A25D85" wp14:textId="3D8D7DE0">
      <w:pPr>
        <w:pStyle w:val="ListParagraph"/>
        <w:numPr>
          <w:ilvl w:val="1"/>
          <w:numId w:val="3"/>
        </w:numPr>
        <w:spacing w:before="0" w:beforeAutospacing="off" w:after="120" w:afterAutospacing="off"/>
        <w:rPr>
          <w:rFonts w:ascii="Aptos" w:hAnsi="Aptos" w:eastAsia="Aptos" w:cs="Aptos"/>
          <w:noProof w:val="0"/>
          <w:color w:val="303030"/>
          <w:sz w:val="21"/>
          <w:szCs w:val="21"/>
          <w:lang w:val="en-US"/>
        </w:rPr>
      </w:pPr>
      <w:r w:rsidRPr="35C0267C" w:rsidR="2DB6F71A">
        <w:rPr>
          <w:rFonts w:ascii="Aptos" w:hAnsi="Aptos" w:eastAsia="Aptos" w:cs="Aptos"/>
          <w:i w:val="1"/>
          <w:iCs w:val="1"/>
          <w:noProof w:val="0"/>
          <w:color w:val="303030"/>
          <w:sz w:val="21"/>
          <w:szCs w:val="21"/>
          <w:lang w:val="en-US"/>
        </w:rPr>
        <w:t>Prism over the Fixing Eye:</w:t>
      </w:r>
      <w:r w:rsidRPr="35C0267C" w:rsidR="2DB6F71A">
        <w:rPr>
          <w:rFonts w:ascii="Aptos" w:hAnsi="Aptos" w:eastAsia="Aptos" w:cs="Aptos"/>
          <w:noProof w:val="0"/>
          <w:color w:val="303030"/>
          <w:sz w:val="21"/>
          <w:szCs w:val="21"/>
          <w:lang w:val="en-US"/>
        </w:rPr>
        <w:t xml:space="preserve"> If the prism is placed in front of the dominant fixing eye, both eyes will make the initial conjugate version movement to follow the image (away from the prism), but </w:t>
      </w:r>
      <w:r w:rsidRPr="35C0267C" w:rsidR="2DB6F71A">
        <w:rPr>
          <w:rFonts w:ascii="Aptos" w:hAnsi="Aptos" w:eastAsia="Aptos" w:cs="Aptos"/>
          <w:b w:val="1"/>
          <w:bCs w:val="1"/>
          <w:noProof w:val="0"/>
          <w:color w:val="303030"/>
          <w:sz w:val="21"/>
          <w:szCs w:val="21"/>
          <w:lang w:val="en-US"/>
        </w:rPr>
        <w:t>no corrective adduction movement</w:t>
      </w:r>
      <w:r w:rsidRPr="35C0267C" w:rsidR="2DB6F71A">
        <w:rPr>
          <w:rFonts w:ascii="Aptos" w:hAnsi="Aptos" w:eastAsia="Aptos" w:cs="Aptos"/>
          <w:noProof w:val="0"/>
          <w:color w:val="303030"/>
          <w:sz w:val="21"/>
          <w:szCs w:val="21"/>
          <w:lang w:val="en-US"/>
        </w:rPr>
        <w:t xml:space="preserve"> will occur to regain binocularity.</w:t>
      </w:r>
    </w:p>
    <w:p xmlns:wp14="http://schemas.microsoft.com/office/word/2010/wordml" w:rsidP="35C0267C" wp14:paraId="3AF4AB02" wp14:textId="2FE02444">
      <w:pPr>
        <w:spacing w:before="0" w:beforeAutospacing="off" w:after="120" w:afterAutospacing="off"/>
      </w:pPr>
      <w:r w:rsidRPr="35C0267C" w:rsidR="2DB6F71A">
        <w:rPr>
          <w:rFonts w:ascii="Aptos" w:hAnsi="Aptos" w:eastAsia="Aptos" w:cs="Aptos"/>
          <w:b w:val="1"/>
          <w:bCs w:val="1"/>
          <w:noProof w:val="0"/>
          <w:color w:val="303030"/>
          <w:sz w:val="21"/>
          <w:szCs w:val="21"/>
          <w:lang w:val="en-US"/>
        </w:rPr>
        <w:t>IV. Advanced Clinical Pearls</w:t>
      </w:r>
    </w:p>
    <w:p xmlns:wp14="http://schemas.microsoft.com/office/word/2010/wordml" w:rsidP="35C0267C" wp14:paraId="2722CC15" wp14:textId="2A84BDBC">
      <w:pPr>
        <w:pStyle w:val="ListParagraph"/>
        <w:numPr>
          <w:ilvl w:val="0"/>
          <w:numId w:val="4"/>
        </w:numPr>
        <w:spacing w:before="0" w:beforeAutospacing="off" w:after="120" w:afterAutospacing="off"/>
        <w:rPr>
          <w:rFonts w:ascii="Aptos" w:hAnsi="Aptos" w:eastAsia="Aptos" w:cs="Aptos"/>
          <w:noProof w:val="0"/>
          <w:color w:val="303030"/>
          <w:sz w:val="21"/>
          <w:szCs w:val="21"/>
          <w:lang w:val="en-US"/>
        </w:rPr>
      </w:pPr>
      <w:r w:rsidRPr="35C0267C" w:rsidR="2DB6F71A">
        <w:rPr>
          <w:rFonts w:ascii="Aptos" w:hAnsi="Aptos" w:eastAsia="Aptos" w:cs="Aptos"/>
          <w:b w:val="1"/>
          <w:bCs w:val="1"/>
          <w:noProof w:val="0"/>
          <w:color w:val="303030"/>
          <w:sz w:val="21"/>
          <w:szCs w:val="21"/>
          <w:lang w:val="en-US"/>
        </w:rPr>
        <w:t>Target Selection:</w:t>
      </w:r>
      <w:r w:rsidRPr="35C0267C" w:rsidR="2DB6F71A">
        <w:rPr>
          <w:rFonts w:ascii="Aptos" w:hAnsi="Aptos" w:eastAsia="Aptos" w:cs="Aptos"/>
          <w:noProof w:val="0"/>
          <w:color w:val="303030"/>
          <w:sz w:val="21"/>
          <w:szCs w:val="21"/>
          <w:lang w:val="en-US"/>
        </w:rPr>
        <w:t xml:space="preserve"> Always use a detailed accommodative target (like a small picture or letter) rather than a simple penlight. A detailed target provides the necessary stimulus to lock accommodation and convergence, whereas a plain light might not provide enough contour detail to stimulate a strong fusional reflex.</w:t>
      </w:r>
    </w:p>
    <w:p xmlns:wp14="http://schemas.microsoft.com/office/word/2010/wordml" w:rsidP="35C0267C" wp14:paraId="7B27E722" wp14:textId="0FEB1485">
      <w:pPr>
        <w:pStyle w:val="ListParagraph"/>
        <w:numPr>
          <w:ilvl w:val="0"/>
          <w:numId w:val="4"/>
        </w:numPr>
        <w:spacing w:before="0" w:beforeAutospacing="off" w:after="120" w:afterAutospacing="off"/>
        <w:rPr>
          <w:rFonts w:ascii="Aptos" w:hAnsi="Aptos" w:eastAsia="Aptos" w:cs="Aptos"/>
          <w:noProof w:val="0"/>
          <w:color w:val="303030"/>
          <w:sz w:val="21"/>
          <w:szCs w:val="21"/>
          <w:lang w:val="en-US"/>
        </w:rPr>
      </w:pPr>
      <w:r w:rsidRPr="35C0267C" w:rsidR="2DB6F71A">
        <w:rPr>
          <w:rFonts w:ascii="Aptos" w:hAnsi="Aptos" w:eastAsia="Aptos" w:cs="Aptos"/>
          <w:b w:val="1"/>
          <w:bCs w:val="1"/>
          <w:noProof w:val="0"/>
          <w:color w:val="303030"/>
          <w:sz w:val="21"/>
          <w:szCs w:val="21"/>
          <w:lang w:val="en-US"/>
        </w:rPr>
        <w:t>Bilateral Testing is Mandatory:</w:t>
      </w:r>
      <w:r w:rsidRPr="35C0267C" w:rsidR="2DB6F71A">
        <w:rPr>
          <w:rFonts w:ascii="Aptos" w:hAnsi="Aptos" w:eastAsia="Aptos" w:cs="Aptos"/>
          <w:noProof w:val="0"/>
          <w:color w:val="303030"/>
          <w:sz w:val="21"/>
          <w:szCs w:val="21"/>
          <w:lang w:val="en-US"/>
        </w:rPr>
        <w:t xml:space="preserve"> Because the test will yield different abnormal responses depending on whether the prism is placed over the fixing or non-fixing eye, you must perform the test over each eye separately to accurately detect unilateral suppression</w:t>
      </w:r>
    </w:p>
    <w:p xmlns:wp14="http://schemas.microsoft.com/office/word/2010/wordml" wp14:paraId="518A33A1" wp14:textId="7C741E2A"/>
    <w:p xmlns:wp14="http://schemas.microsoft.com/office/word/2010/wordml" wp14:paraId="2C078E63" wp14:textId="7E23E6C4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5b2f28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b152d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62c6d8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d5e5a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DB031FC"/>
    <w:rsid w:val="1DB031FC"/>
    <w:rsid w:val="2DB6F71A"/>
    <w:rsid w:val="35C02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7EC36"/>
  <w15:chartTrackingRefBased/>
  <w15:docId w15:val="{79EFAC12-97FE-4138-B3F8-A912C57D6FE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5C0267C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cfbeafead7a420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2026-03-15T08:12:11.7443880Z</dcterms:created>
  <dcterms:modified xsi:type="dcterms:W3CDTF">2026-03-15T08:12:39.2816230Z</dcterms:modified>
  <dc:creator>Naganathan Muthuramalingam</dc:creator>
  <lastModifiedBy>Naganathan Muthuramalingam</lastModifiedBy>
</coreProperties>
</file>