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FCBB" w14:textId="7F0771FA" w:rsidR="006043F4" w:rsidRDefault="271465E6" w:rsidP="08CD8D7F">
      <w:pPr>
        <w:spacing w:before="240" w:after="120"/>
      </w:pPr>
      <w:r w:rsidRPr="08CD8D7F">
        <w:rPr>
          <w:rFonts w:ascii="Aptos" w:eastAsia="Aptos" w:hAnsi="Aptos" w:cs="Aptos"/>
          <w:b/>
          <w:bCs/>
          <w:color w:val="303030"/>
          <w:sz w:val="21"/>
          <w:szCs w:val="21"/>
        </w:rPr>
        <w:t>Bead-on-a-String (Brock String)</w:t>
      </w:r>
    </w:p>
    <w:p w14:paraId="317332E6" w14:textId="4611744F" w:rsidR="006043F4" w:rsidRDefault="271465E6" w:rsidP="08CD8D7F">
      <w:pPr>
        <w:spacing w:after="120"/>
      </w:pPr>
      <w:r w:rsidRPr="08CD8D7F">
        <w:rPr>
          <w:rFonts w:ascii="Aptos" w:eastAsia="Aptos" w:hAnsi="Aptos" w:cs="Aptos"/>
          <w:b/>
          <w:bCs/>
          <w:color w:val="303030"/>
          <w:sz w:val="21"/>
          <w:szCs w:val="21"/>
        </w:rPr>
        <w:t>Equipment Needed:</w:t>
      </w:r>
      <w:r w:rsidRPr="08CD8D7F">
        <w:rPr>
          <w:rFonts w:ascii="Aptos" w:eastAsia="Aptos" w:hAnsi="Aptos" w:cs="Aptos"/>
          <w:color w:val="303030"/>
          <w:sz w:val="21"/>
          <w:szCs w:val="21"/>
        </w:rPr>
        <w:t xml:space="preserve"> A piece of string, a bead (or a nut), and a fixation point to tie the string to (like a wall or a chair).</w:t>
      </w:r>
    </w:p>
    <w:p w14:paraId="5B039100" w14:textId="4E5B4A8C" w:rsidR="006043F4" w:rsidRDefault="271465E6" w:rsidP="08CD8D7F">
      <w:pPr>
        <w:spacing w:after="120"/>
      </w:pPr>
      <w:r w:rsidRPr="08CD8D7F">
        <w:rPr>
          <w:rFonts w:ascii="Aptos" w:eastAsia="Aptos" w:hAnsi="Aptos" w:cs="Aptos"/>
          <w:b/>
          <w:bCs/>
          <w:color w:val="303030"/>
          <w:sz w:val="21"/>
          <w:szCs w:val="21"/>
        </w:rPr>
        <w:t>I. Purpose and Principles</w:t>
      </w:r>
    </w:p>
    <w:p w14:paraId="66F75464" w14:textId="6D9AD326" w:rsidR="006043F4" w:rsidRDefault="271465E6" w:rsidP="08CD8D7F">
      <w:pPr>
        <w:pStyle w:val="ListParagraph"/>
        <w:numPr>
          <w:ilvl w:val="0"/>
          <w:numId w:val="4"/>
        </w:numPr>
        <w:spacing w:after="120"/>
        <w:rPr>
          <w:rFonts w:ascii="Aptos" w:eastAsia="Aptos" w:hAnsi="Aptos" w:cs="Aptos"/>
          <w:color w:val="303030"/>
          <w:sz w:val="21"/>
          <w:szCs w:val="21"/>
        </w:rPr>
      </w:pPr>
      <w:r w:rsidRPr="08CD8D7F">
        <w:rPr>
          <w:rFonts w:ascii="Aptos" w:eastAsia="Aptos" w:hAnsi="Aptos" w:cs="Aptos"/>
          <w:b/>
          <w:bCs/>
          <w:color w:val="303030"/>
          <w:sz w:val="21"/>
          <w:szCs w:val="21"/>
        </w:rPr>
        <w:t>Clinical Value:</w:t>
      </w:r>
      <w:r w:rsidRPr="08CD8D7F">
        <w:rPr>
          <w:rFonts w:ascii="Aptos" w:eastAsia="Aptos" w:hAnsi="Aptos" w:cs="Aptos"/>
          <w:color w:val="303030"/>
          <w:sz w:val="21"/>
          <w:szCs w:val="21"/>
        </w:rPr>
        <w:t xml:space="preserve"> This is a highly effective orthoptic exercise used to train fusional convergence and treat convergence insufficiency. It is particularly suitable for patients with quite marked convergence insufficiency, such as those with a Near Point of Convergence (NPC) of 20 cm or greater.</w:t>
      </w:r>
    </w:p>
    <w:p w14:paraId="561DA403" w14:textId="61141B58" w:rsidR="006043F4" w:rsidRDefault="271465E6" w:rsidP="08CD8D7F">
      <w:pPr>
        <w:pStyle w:val="ListParagraph"/>
        <w:numPr>
          <w:ilvl w:val="0"/>
          <w:numId w:val="4"/>
        </w:numPr>
        <w:spacing w:after="120"/>
        <w:rPr>
          <w:rFonts w:ascii="Aptos" w:eastAsia="Aptos" w:hAnsi="Aptos" w:cs="Aptos"/>
          <w:color w:val="303030"/>
          <w:sz w:val="21"/>
          <w:szCs w:val="21"/>
        </w:rPr>
      </w:pPr>
      <w:r w:rsidRPr="08CD8D7F">
        <w:rPr>
          <w:rFonts w:ascii="Aptos" w:eastAsia="Aptos" w:hAnsi="Aptos" w:cs="Aptos"/>
          <w:b/>
          <w:bCs/>
          <w:color w:val="303030"/>
          <w:sz w:val="21"/>
          <w:szCs w:val="21"/>
        </w:rPr>
        <w:t>Physiological Basis:</w:t>
      </w:r>
      <w:r w:rsidRPr="08CD8D7F">
        <w:rPr>
          <w:rFonts w:ascii="Aptos" w:eastAsia="Aptos" w:hAnsi="Aptos" w:cs="Aptos"/>
          <w:color w:val="303030"/>
          <w:sz w:val="21"/>
          <w:szCs w:val="21"/>
        </w:rPr>
        <w:t xml:space="preserve"> The test relies on the principle of </w:t>
      </w:r>
      <w:r w:rsidRPr="08CD8D7F">
        <w:rPr>
          <w:rFonts w:ascii="Aptos" w:eastAsia="Aptos" w:hAnsi="Aptos" w:cs="Aptos"/>
          <w:b/>
          <w:bCs/>
          <w:color w:val="303030"/>
          <w:sz w:val="21"/>
          <w:szCs w:val="21"/>
        </w:rPr>
        <w:t>physiological diplopia</w:t>
      </w:r>
      <w:r w:rsidRPr="08CD8D7F">
        <w:rPr>
          <w:rFonts w:ascii="Aptos" w:eastAsia="Aptos" w:hAnsi="Aptos" w:cs="Aptos"/>
          <w:color w:val="303030"/>
          <w:sz w:val="21"/>
          <w:szCs w:val="21"/>
        </w:rPr>
        <w:t>. By forcing the patient to maintain awareness of the string extending in front of and behind the fixated bead, the practitioner can ensure both eyes are being used simultaneously and track precisely where the patient's eyes are converged.</w:t>
      </w:r>
    </w:p>
    <w:p w14:paraId="293ED597" w14:textId="38D97B09" w:rsidR="006043F4" w:rsidRDefault="271465E6" w:rsidP="08CD8D7F">
      <w:pPr>
        <w:spacing w:after="120"/>
      </w:pPr>
      <w:r w:rsidRPr="08CD8D7F">
        <w:rPr>
          <w:rFonts w:ascii="Aptos" w:eastAsia="Aptos" w:hAnsi="Aptos" w:cs="Aptos"/>
          <w:b/>
          <w:bCs/>
          <w:color w:val="303030"/>
          <w:sz w:val="21"/>
          <w:szCs w:val="21"/>
        </w:rPr>
        <w:t>II. Procedure</w:t>
      </w:r>
    </w:p>
    <w:p w14:paraId="56722FCC" w14:textId="732468DC"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Thread a bead (or nut) onto the piece of string.</w:t>
      </w:r>
    </w:p>
    <w:p w14:paraId="29EAF748" w14:textId="771239AF"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Attach one end of the string to an object directly in front of the patient (e.g., tied to a wall or a chair), or have the patient hold it at arm's length.</w:t>
      </w:r>
    </w:p>
    <w:p w14:paraId="10E888AD" w14:textId="022345FF"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The patient holds the other end of the string against the bridge or tip of their nose, ensuring the string is pulled taut and held level.</w:t>
      </w:r>
    </w:p>
    <w:p w14:paraId="00702677" w14:textId="005CDC69"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 xml:space="preserve">Initially, place the bead on the string at a distance </w:t>
      </w:r>
      <w:r w:rsidRPr="08CD8D7F">
        <w:rPr>
          <w:rFonts w:ascii="Aptos" w:eastAsia="Aptos" w:hAnsi="Aptos" w:cs="Aptos"/>
          <w:i/>
          <w:iCs/>
          <w:color w:val="303030"/>
          <w:sz w:val="21"/>
          <w:szCs w:val="21"/>
        </w:rPr>
        <w:t>further</w:t>
      </w:r>
      <w:r w:rsidRPr="08CD8D7F">
        <w:rPr>
          <w:rFonts w:ascii="Aptos" w:eastAsia="Aptos" w:hAnsi="Aptos" w:cs="Aptos"/>
          <w:color w:val="303030"/>
          <w:sz w:val="21"/>
          <w:szCs w:val="21"/>
        </w:rPr>
        <w:t xml:space="preserve"> away from the patient than their measured near point of convergence.</w:t>
      </w:r>
    </w:p>
    <w:p w14:paraId="65D043DD" w14:textId="72BF3144"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Instruct the patient to fixate directly on the bead.</w:t>
      </w:r>
    </w:p>
    <w:p w14:paraId="51581C29" w14:textId="5791E22C" w:rsidR="006043F4" w:rsidRDefault="271465E6" w:rsidP="08CD8D7F">
      <w:pPr>
        <w:pStyle w:val="ListParagraph"/>
        <w:numPr>
          <w:ilvl w:val="0"/>
          <w:numId w:val="3"/>
        </w:numPr>
        <w:spacing w:after="120"/>
        <w:rPr>
          <w:rFonts w:ascii="Aptos" w:eastAsia="Aptos" w:hAnsi="Aptos" w:cs="Aptos"/>
          <w:color w:val="303030"/>
          <w:sz w:val="21"/>
          <w:szCs w:val="21"/>
        </w:rPr>
      </w:pPr>
      <w:r w:rsidRPr="08CD8D7F">
        <w:rPr>
          <w:rFonts w:ascii="Aptos" w:eastAsia="Aptos" w:hAnsi="Aptos" w:cs="Aptos"/>
          <w:color w:val="303030"/>
          <w:sz w:val="21"/>
          <w:szCs w:val="21"/>
        </w:rPr>
        <w:t>Gradually move the bead closer towards the patient's nose (</w:t>
      </w:r>
      <w:proofErr w:type="gramStart"/>
      <w:r w:rsidRPr="08CD8D7F">
        <w:rPr>
          <w:rFonts w:ascii="Aptos" w:eastAsia="Aptos" w:hAnsi="Aptos" w:cs="Aptos"/>
          <w:color w:val="303030"/>
          <w:sz w:val="21"/>
          <w:szCs w:val="21"/>
        </w:rPr>
        <w:t>similar to</w:t>
      </w:r>
      <w:proofErr w:type="gramEnd"/>
      <w:r w:rsidRPr="08CD8D7F">
        <w:rPr>
          <w:rFonts w:ascii="Aptos" w:eastAsia="Aptos" w:hAnsi="Aptos" w:cs="Aptos"/>
          <w:color w:val="303030"/>
          <w:sz w:val="21"/>
          <w:szCs w:val="21"/>
        </w:rPr>
        <w:t xml:space="preserve"> the "push-up" NPC method) until the patient either reports diplopia (seeing two beads) or suppression occurs.</w:t>
      </w:r>
    </w:p>
    <w:p w14:paraId="55D1AD18" w14:textId="3DC87D68" w:rsidR="006043F4" w:rsidRDefault="271465E6" w:rsidP="08CD8D7F">
      <w:pPr>
        <w:spacing w:after="120"/>
      </w:pPr>
      <w:r w:rsidRPr="08CD8D7F">
        <w:rPr>
          <w:rFonts w:ascii="Aptos" w:eastAsia="Aptos" w:hAnsi="Aptos" w:cs="Aptos"/>
          <w:b/>
          <w:bCs/>
          <w:color w:val="303030"/>
          <w:sz w:val="21"/>
          <w:szCs w:val="21"/>
        </w:rPr>
        <w:t>III. Clinical Observation &amp; Interpretation</w:t>
      </w:r>
    </w:p>
    <w:p w14:paraId="2F083B68" w14:textId="29CDBBD7" w:rsidR="006043F4" w:rsidRDefault="271465E6" w:rsidP="08CD8D7F">
      <w:pPr>
        <w:pStyle w:val="ListParagraph"/>
        <w:numPr>
          <w:ilvl w:val="0"/>
          <w:numId w:val="2"/>
        </w:numPr>
        <w:spacing w:after="120"/>
        <w:rPr>
          <w:rFonts w:ascii="Aptos" w:eastAsia="Aptos" w:hAnsi="Aptos" w:cs="Aptos"/>
          <w:color w:val="303030"/>
          <w:sz w:val="21"/>
          <w:szCs w:val="21"/>
        </w:rPr>
      </w:pPr>
      <w:r w:rsidRPr="08CD8D7F">
        <w:rPr>
          <w:rFonts w:ascii="Aptos" w:eastAsia="Aptos" w:hAnsi="Aptos" w:cs="Aptos"/>
          <w:b/>
          <w:bCs/>
          <w:color w:val="303030"/>
          <w:sz w:val="21"/>
          <w:szCs w:val="21"/>
        </w:rPr>
        <w:t>The "X" Pattern (Normal Response):</w:t>
      </w:r>
      <w:r w:rsidRPr="08CD8D7F">
        <w:rPr>
          <w:rFonts w:ascii="Aptos" w:eastAsia="Aptos" w:hAnsi="Aptos" w:cs="Aptos"/>
          <w:color w:val="303030"/>
          <w:sz w:val="21"/>
          <w:szCs w:val="21"/>
        </w:rPr>
        <w:t xml:space="preserve"> When the patient fixates successfully on the single bead, they should perceive the string forming an "X" that crosses </w:t>
      </w:r>
      <w:r w:rsidRPr="08CD8D7F">
        <w:rPr>
          <w:rFonts w:ascii="Aptos" w:eastAsia="Aptos" w:hAnsi="Aptos" w:cs="Aptos"/>
          <w:i/>
          <w:iCs/>
          <w:color w:val="303030"/>
          <w:sz w:val="21"/>
          <w:szCs w:val="21"/>
        </w:rPr>
        <w:t>exactly</w:t>
      </w:r>
      <w:r w:rsidRPr="08CD8D7F">
        <w:rPr>
          <w:rFonts w:ascii="Aptos" w:eastAsia="Aptos" w:hAnsi="Aptos" w:cs="Aptos"/>
          <w:color w:val="303030"/>
          <w:sz w:val="21"/>
          <w:szCs w:val="21"/>
        </w:rPr>
        <w:t xml:space="preserve"> at the center of the bead.</w:t>
      </w:r>
    </w:p>
    <w:p w14:paraId="2E6BF9D0" w14:textId="263C2A41" w:rsidR="006043F4" w:rsidRDefault="271465E6" w:rsidP="08CD8D7F">
      <w:pPr>
        <w:pStyle w:val="ListParagraph"/>
        <w:numPr>
          <w:ilvl w:val="0"/>
          <w:numId w:val="2"/>
        </w:numPr>
        <w:spacing w:after="120"/>
        <w:rPr>
          <w:rFonts w:ascii="Aptos" w:eastAsia="Aptos" w:hAnsi="Aptos" w:cs="Aptos"/>
          <w:color w:val="303030"/>
          <w:sz w:val="21"/>
          <w:szCs w:val="21"/>
        </w:rPr>
      </w:pPr>
      <w:r w:rsidRPr="08CD8D7F">
        <w:rPr>
          <w:rFonts w:ascii="Aptos" w:eastAsia="Aptos" w:hAnsi="Aptos" w:cs="Aptos"/>
          <w:b/>
          <w:bCs/>
          <w:color w:val="303030"/>
          <w:sz w:val="21"/>
          <w:szCs w:val="21"/>
        </w:rPr>
        <w:t>Monitoring Suppression:</w:t>
      </w:r>
      <w:r w:rsidRPr="08CD8D7F">
        <w:rPr>
          <w:rFonts w:ascii="Aptos" w:eastAsia="Aptos" w:hAnsi="Aptos" w:cs="Aptos"/>
          <w:color w:val="303030"/>
          <w:sz w:val="21"/>
          <w:szCs w:val="21"/>
        </w:rPr>
        <w:t xml:space="preserve"> The perception of the "X" must be specifically pointed out to the patient. Because the string is seen in physiological diplopia, if the patient reports seeing only </w:t>
      </w:r>
      <w:r w:rsidRPr="08CD8D7F">
        <w:rPr>
          <w:rFonts w:ascii="Aptos" w:eastAsia="Aptos" w:hAnsi="Aptos" w:cs="Aptos"/>
          <w:i/>
          <w:iCs/>
          <w:color w:val="303030"/>
          <w:sz w:val="21"/>
          <w:szCs w:val="21"/>
        </w:rPr>
        <w:t>one</w:t>
      </w:r>
      <w:r w:rsidRPr="08CD8D7F">
        <w:rPr>
          <w:rFonts w:ascii="Aptos" w:eastAsia="Aptos" w:hAnsi="Aptos" w:cs="Aptos"/>
          <w:color w:val="303030"/>
          <w:sz w:val="21"/>
          <w:szCs w:val="21"/>
        </w:rPr>
        <w:t xml:space="preserve"> string instead of two crossing strings, they are suppressing one eye.</w:t>
      </w:r>
    </w:p>
    <w:p w14:paraId="74EF94B8" w14:textId="6D6F6DD4" w:rsidR="006043F4" w:rsidRDefault="271465E6" w:rsidP="08CD8D7F">
      <w:pPr>
        <w:pStyle w:val="ListParagraph"/>
        <w:numPr>
          <w:ilvl w:val="0"/>
          <w:numId w:val="2"/>
        </w:numPr>
        <w:spacing w:after="120"/>
        <w:rPr>
          <w:rFonts w:ascii="Aptos" w:eastAsia="Aptos" w:hAnsi="Aptos" w:cs="Aptos"/>
          <w:color w:val="303030"/>
          <w:sz w:val="21"/>
          <w:szCs w:val="21"/>
        </w:rPr>
      </w:pPr>
      <w:r w:rsidRPr="08CD8D7F">
        <w:rPr>
          <w:rFonts w:ascii="Aptos" w:eastAsia="Aptos" w:hAnsi="Aptos" w:cs="Aptos"/>
          <w:b/>
          <w:bCs/>
          <w:color w:val="303030"/>
          <w:sz w:val="21"/>
          <w:szCs w:val="21"/>
        </w:rPr>
        <w:t>Convergence Accuracy:</w:t>
      </w:r>
      <w:r w:rsidRPr="08CD8D7F">
        <w:rPr>
          <w:rFonts w:ascii="Aptos" w:eastAsia="Aptos" w:hAnsi="Aptos" w:cs="Aptos"/>
          <w:color w:val="303030"/>
          <w:sz w:val="21"/>
          <w:szCs w:val="21"/>
        </w:rPr>
        <w:t xml:space="preserve"> If the "X" crosses in front of the bead, the patient is over-converging. If the "X" crosses behind the bead, the patient is under-converging.</w:t>
      </w:r>
    </w:p>
    <w:p w14:paraId="734BE9E5" w14:textId="092E415A" w:rsidR="006043F4" w:rsidRDefault="271465E6" w:rsidP="08CD8D7F">
      <w:pPr>
        <w:spacing w:after="120"/>
      </w:pPr>
      <w:r w:rsidRPr="08CD8D7F">
        <w:rPr>
          <w:rFonts w:ascii="Aptos" w:eastAsia="Aptos" w:hAnsi="Aptos" w:cs="Aptos"/>
          <w:b/>
          <w:bCs/>
          <w:color w:val="303030"/>
          <w:sz w:val="21"/>
          <w:szCs w:val="21"/>
        </w:rPr>
        <w:t>IV. Advanced Clinical Pearls</w:t>
      </w:r>
    </w:p>
    <w:p w14:paraId="749A6842" w14:textId="24348FC1" w:rsidR="006043F4" w:rsidRDefault="271465E6" w:rsidP="08CD8D7F">
      <w:pPr>
        <w:pStyle w:val="ListParagraph"/>
        <w:numPr>
          <w:ilvl w:val="0"/>
          <w:numId w:val="1"/>
        </w:numPr>
        <w:spacing w:after="120"/>
        <w:rPr>
          <w:rFonts w:ascii="Aptos" w:eastAsia="Aptos" w:hAnsi="Aptos" w:cs="Aptos"/>
          <w:color w:val="303030"/>
          <w:sz w:val="21"/>
          <w:szCs w:val="21"/>
        </w:rPr>
      </w:pPr>
      <w:r w:rsidRPr="08CD8D7F">
        <w:rPr>
          <w:rFonts w:ascii="Aptos" w:eastAsia="Aptos" w:hAnsi="Aptos" w:cs="Aptos"/>
          <w:b/>
          <w:bCs/>
          <w:color w:val="303030"/>
          <w:sz w:val="21"/>
          <w:szCs w:val="21"/>
        </w:rPr>
        <w:t>Tactile and Visual Feedback:</w:t>
      </w:r>
      <w:r w:rsidRPr="08CD8D7F">
        <w:rPr>
          <w:rFonts w:ascii="Aptos" w:eastAsia="Aptos" w:hAnsi="Aptos" w:cs="Aptos"/>
          <w:color w:val="303030"/>
          <w:sz w:val="21"/>
          <w:szCs w:val="21"/>
        </w:rPr>
        <w:t xml:space="preserve"> Because this method provides both a strong visual target (the crossing strings) and a tactile input (holding the string to the nose), it is particularly useful for youngsters who also suffer from hand-eye coordination difficulties.</w:t>
      </w:r>
    </w:p>
    <w:p w14:paraId="2F9076AF" w14:textId="24C00460" w:rsidR="006043F4" w:rsidRDefault="271465E6" w:rsidP="08CD8D7F">
      <w:pPr>
        <w:pStyle w:val="ListParagraph"/>
        <w:numPr>
          <w:ilvl w:val="0"/>
          <w:numId w:val="1"/>
        </w:numPr>
        <w:spacing w:after="120"/>
        <w:rPr>
          <w:rFonts w:ascii="Aptos" w:eastAsia="Aptos" w:hAnsi="Aptos" w:cs="Aptos"/>
          <w:color w:val="303030"/>
          <w:sz w:val="21"/>
          <w:szCs w:val="21"/>
        </w:rPr>
      </w:pPr>
      <w:r w:rsidRPr="08CD8D7F">
        <w:rPr>
          <w:rFonts w:ascii="Aptos" w:eastAsia="Aptos" w:hAnsi="Aptos" w:cs="Aptos"/>
          <w:b/>
          <w:bCs/>
          <w:color w:val="303030"/>
          <w:sz w:val="21"/>
          <w:szCs w:val="21"/>
        </w:rPr>
        <w:t>Warm-Up Exercise:</w:t>
      </w:r>
      <w:r w:rsidRPr="08CD8D7F">
        <w:rPr>
          <w:rFonts w:ascii="Aptos" w:eastAsia="Aptos" w:hAnsi="Aptos" w:cs="Aptos"/>
          <w:color w:val="303030"/>
          <w:sz w:val="21"/>
          <w:szCs w:val="21"/>
        </w:rPr>
        <w:t xml:space="preserve"> Many practitioners instruct their patients to use the Brock string (or a similar dot card) as a daily "warm-up" exercise before moving on to more complex therapies, such as free-space stereograms.</w:t>
      </w:r>
    </w:p>
    <w:p w14:paraId="75B0E659" w14:textId="7F76E894" w:rsidR="006043F4" w:rsidRDefault="271465E6" w:rsidP="08CD8D7F">
      <w:pPr>
        <w:pStyle w:val="ListParagraph"/>
        <w:numPr>
          <w:ilvl w:val="0"/>
          <w:numId w:val="1"/>
        </w:numPr>
        <w:spacing w:after="120"/>
        <w:rPr>
          <w:rFonts w:ascii="Aptos" w:eastAsia="Aptos" w:hAnsi="Aptos" w:cs="Aptos"/>
          <w:color w:val="303030"/>
          <w:sz w:val="21"/>
          <w:szCs w:val="21"/>
        </w:rPr>
      </w:pPr>
      <w:r w:rsidRPr="08CD8D7F">
        <w:rPr>
          <w:rFonts w:ascii="Aptos" w:eastAsia="Aptos" w:hAnsi="Aptos" w:cs="Aptos"/>
          <w:b/>
          <w:bCs/>
          <w:color w:val="303030"/>
          <w:sz w:val="21"/>
          <w:szCs w:val="21"/>
        </w:rPr>
        <w:lastRenderedPageBreak/>
        <w:t>Therapeutic Goal:</w:t>
      </w:r>
      <w:r w:rsidRPr="08CD8D7F">
        <w:rPr>
          <w:rFonts w:ascii="Aptos" w:eastAsia="Aptos" w:hAnsi="Aptos" w:cs="Aptos"/>
          <w:color w:val="303030"/>
          <w:sz w:val="21"/>
          <w:szCs w:val="21"/>
        </w:rPr>
        <w:t xml:space="preserve"> The patient should practice crossing the strings directly at the bead and maintaining that single image while the bead is moved progressively closer, aiming to maintain the "X" to within 3 cm of the nose</w:t>
      </w:r>
    </w:p>
    <w:p w14:paraId="2C078E63" w14:textId="40883F60" w:rsidR="006043F4" w:rsidRDefault="006043F4"/>
    <w:sectPr w:rsidR="00604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177"/>
    <w:multiLevelType w:val="hybridMultilevel"/>
    <w:tmpl w:val="DAB269DA"/>
    <w:lvl w:ilvl="0" w:tplc="4CB4E57E">
      <w:start w:val="1"/>
      <w:numFmt w:val="bullet"/>
      <w:lvlText w:val=""/>
      <w:lvlJc w:val="left"/>
      <w:pPr>
        <w:ind w:left="720" w:hanging="360"/>
      </w:pPr>
      <w:rPr>
        <w:rFonts w:ascii="Symbol" w:hAnsi="Symbol" w:hint="default"/>
      </w:rPr>
    </w:lvl>
    <w:lvl w:ilvl="1" w:tplc="C43CE2AA">
      <w:start w:val="1"/>
      <w:numFmt w:val="bullet"/>
      <w:lvlText w:val="o"/>
      <w:lvlJc w:val="left"/>
      <w:pPr>
        <w:ind w:left="1440" w:hanging="360"/>
      </w:pPr>
      <w:rPr>
        <w:rFonts w:ascii="Courier New" w:hAnsi="Courier New" w:hint="default"/>
      </w:rPr>
    </w:lvl>
    <w:lvl w:ilvl="2" w:tplc="3424A048">
      <w:start w:val="1"/>
      <w:numFmt w:val="bullet"/>
      <w:lvlText w:val=""/>
      <w:lvlJc w:val="left"/>
      <w:pPr>
        <w:ind w:left="2160" w:hanging="360"/>
      </w:pPr>
      <w:rPr>
        <w:rFonts w:ascii="Wingdings" w:hAnsi="Wingdings" w:hint="default"/>
      </w:rPr>
    </w:lvl>
    <w:lvl w:ilvl="3" w:tplc="9762183A">
      <w:start w:val="1"/>
      <w:numFmt w:val="bullet"/>
      <w:lvlText w:val=""/>
      <w:lvlJc w:val="left"/>
      <w:pPr>
        <w:ind w:left="2880" w:hanging="360"/>
      </w:pPr>
      <w:rPr>
        <w:rFonts w:ascii="Symbol" w:hAnsi="Symbol" w:hint="default"/>
      </w:rPr>
    </w:lvl>
    <w:lvl w:ilvl="4" w:tplc="C8C6F1B4">
      <w:start w:val="1"/>
      <w:numFmt w:val="bullet"/>
      <w:lvlText w:val="o"/>
      <w:lvlJc w:val="left"/>
      <w:pPr>
        <w:ind w:left="3600" w:hanging="360"/>
      </w:pPr>
      <w:rPr>
        <w:rFonts w:ascii="Courier New" w:hAnsi="Courier New" w:hint="default"/>
      </w:rPr>
    </w:lvl>
    <w:lvl w:ilvl="5" w:tplc="07B88A9E">
      <w:start w:val="1"/>
      <w:numFmt w:val="bullet"/>
      <w:lvlText w:val=""/>
      <w:lvlJc w:val="left"/>
      <w:pPr>
        <w:ind w:left="4320" w:hanging="360"/>
      </w:pPr>
      <w:rPr>
        <w:rFonts w:ascii="Wingdings" w:hAnsi="Wingdings" w:hint="default"/>
      </w:rPr>
    </w:lvl>
    <w:lvl w:ilvl="6" w:tplc="5DA60E90">
      <w:start w:val="1"/>
      <w:numFmt w:val="bullet"/>
      <w:lvlText w:val=""/>
      <w:lvlJc w:val="left"/>
      <w:pPr>
        <w:ind w:left="5040" w:hanging="360"/>
      </w:pPr>
      <w:rPr>
        <w:rFonts w:ascii="Symbol" w:hAnsi="Symbol" w:hint="default"/>
      </w:rPr>
    </w:lvl>
    <w:lvl w:ilvl="7" w:tplc="F544CA74">
      <w:start w:val="1"/>
      <w:numFmt w:val="bullet"/>
      <w:lvlText w:val="o"/>
      <w:lvlJc w:val="left"/>
      <w:pPr>
        <w:ind w:left="5760" w:hanging="360"/>
      </w:pPr>
      <w:rPr>
        <w:rFonts w:ascii="Courier New" w:hAnsi="Courier New" w:hint="default"/>
      </w:rPr>
    </w:lvl>
    <w:lvl w:ilvl="8" w:tplc="74009232">
      <w:start w:val="1"/>
      <w:numFmt w:val="bullet"/>
      <w:lvlText w:val=""/>
      <w:lvlJc w:val="left"/>
      <w:pPr>
        <w:ind w:left="6480" w:hanging="360"/>
      </w:pPr>
      <w:rPr>
        <w:rFonts w:ascii="Wingdings" w:hAnsi="Wingdings" w:hint="default"/>
      </w:rPr>
    </w:lvl>
  </w:abstractNum>
  <w:abstractNum w:abstractNumId="1" w15:restartNumberingAfterBreak="0">
    <w:nsid w:val="3B4C4779"/>
    <w:multiLevelType w:val="hybridMultilevel"/>
    <w:tmpl w:val="9CB67DE0"/>
    <w:lvl w:ilvl="0" w:tplc="8C7CFBF2">
      <w:start w:val="1"/>
      <w:numFmt w:val="bullet"/>
      <w:lvlText w:val=""/>
      <w:lvlJc w:val="left"/>
      <w:pPr>
        <w:ind w:left="720" w:hanging="360"/>
      </w:pPr>
      <w:rPr>
        <w:rFonts w:ascii="Symbol" w:hAnsi="Symbol" w:hint="default"/>
      </w:rPr>
    </w:lvl>
    <w:lvl w:ilvl="1" w:tplc="01E2AD76">
      <w:start w:val="1"/>
      <w:numFmt w:val="bullet"/>
      <w:lvlText w:val="o"/>
      <w:lvlJc w:val="left"/>
      <w:pPr>
        <w:ind w:left="1440" w:hanging="360"/>
      </w:pPr>
      <w:rPr>
        <w:rFonts w:ascii="Courier New" w:hAnsi="Courier New" w:hint="default"/>
      </w:rPr>
    </w:lvl>
    <w:lvl w:ilvl="2" w:tplc="228817C6">
      <w:start w:val="1"/>
      <w:numFmt w:val="bullet"/>
      <w:lvlText w:val=""/>
      <w:lvlJc w:val="left"/>
      <w:pPr>
        <w:ind w:left="2160" w:hanging="360"/>
      </w:pPr>
      <w:rPr>
        <w:rFonts w:ascii="Wingdings" w:hAnsi="Wingdings" w:hint="default"/>
      </w:rPr>
    </w:lvl>
    <w:lvl w:ilvl="3" w:tplc="4950F47E">
      <w:start w:val="1"/>
      <w:numFmt w:val="bullet"/>
      <w:lvlText w:val=""/>
      <w:lvlJc w:val="left"/>
      <w:pPr>
        <w:ind w:left="2880" w:hanging="360"/>
      </w:pPr>
      <w:rPr>
        <w:rFonts w:ascii="Symbol" w:hAnsi="Symbol" w:hint="default"/>
      </w:rPr>
    </w:lvl>
    <w:lvl w:ilvl="4" w:tplc="2E421F02">
      <w:start w:val="1"/>
      <w:numFmt w:val="bullet"/>
      <w:lvlText w:val="o"/>
      <w:lvlJc w:val="left"/>
      <w:pPr>
        <w:ind w:left="3600" w:hanging="360"/>
      </w:pPr>
      <w:rPr>
        <w:rFonts w:ascii="Courier New" w:hAnsi="Courier New" w:hint="default"/>
      </w:rPr>
    </w:lvl>
    <w:lvl w:ilvl="5" w:tplc="02721A1E">
      <w:start w:val="1"/>
      <w:numFmt w:val="bullet"/>
      <w:lvlText w:val=""/>
      <w:lvlJc w:val="left"/>
      <w:pPr>
        <w:ind w:left="4320" w:hanging="360"/>
      </w:pPr>
      <w:rPr>
        <w:rFonts w:ascii="Wingdings" w:hAnsi="Wingdings" w:hint="default"/>
      </w:rPr>
    </w:lvl>
    <w:lvl w:ilvl="6" w:tplc="4F68B8BC">
      <w:start w:val="1"/>
      <w:numFmt w:val="bullet"/>
      <w:lvlText w:val=""/>
      <w:lvlJc w:val="left"/>
      <w:pPr>
        <w:ind w:left="5040" w:hanging="360"/>
      </w:pPr>
      <w:rPr>
        <w:rFonts w:ascii="Symbol" w:hAnsi="Symbol" w:hint="default"/>
      </w:rPr>
    </w:lvl>
    <w:lvl w:ilvl="7" w:tplc="B7B65FA0">
      <w:start w:val="1"/>
      <w:numFmt w:val="bullet"/>
      <w:lvlText w:val="o"/>
      <w:lvlJc w:val="left"/>
      <w:pPr>
        <w:ind w:left="5760" w:hanging="360"/>
      </w:pPr>
      <w:rPr>
        <w:rFonts w:ascii="Courier New" w:hAnsi="Courier New" w:hint="default"/>
      </w:rPr>
    </w:lvl>
    <w:lvl w:ilvl="8" w:tplc="121E676A">
      <w:start w:val="1"/>
      <w:numFmt w:val="bullet"/>
      <w:lvlText w:val=""/>
      <w:lvlJc w:val="left"/>
      <w:pPr>
        <w:ind w:left="6480" w:hanging="360"/>
      </w:pPr>
      <w:rPr>
        <w:rFonts w:ascii="Wingdings" w:hAnsi="Wingdings" w:hint="default"/>
      </w:rPr>
    </w:lvl>
  </w:abstractNum>
  <w:abstractNum w:abstractNumId="2" w15:restartNumberingAfterBreak="0">
    <w:nsid w:val="44F8603C"/>
    <w:multiLevelType w:val="hybridMultilevel"/>
    <w:tmpl w:val="15162EF6"/>
    <w:lvl w:ilvl="0" w:tplc="DA4064E0">
      <w:start w:val="1"/>
      <w:numFmt w:val="bullet"/>
      <w:lvlText w:val=""/>
      <w:lvlJc w:val="left"/>
      <w:pPr>
        <w:ind w:left="720" w:hanging="360"/>
      </w:pPr>
      <w:rPr>
        <w:rFonts w:ascii="Symbol" w:hAnsi="Symbol" w:hint="default"/>
      </w:rPr>
    </w:lvl>
    <w:lvl w:ilvl="1" w:tplc="5FD6E8D4">
      <w:start w:val="1"/>
      <w:numFmt w:val="bullet"/>
      <w:lvlText w:val="o"/>
      <w:lvlJc w:val="left"/>
      <w:pPr>
        <w:ind w:left="1440" w:hanging="360"/>
      </w:pPr>
      <w:rPr>
        <w:rFonts w:ascii="Courier New" w:hAnsi="Courier New" w:hint="default"/>
      </w:rPr>
    </w:lvl>
    <w:lvl w:ilvl="2" w:tplc="A16A086A">
      <w:start w:val="1"/>
      <w:numFmt w:val="bullet"/>
      <w:lvlText w:val=""/>
      <w:lvlJc w:val="left"/>
      <w:pPr>
        <w:ind w:left="2160" w:hanging="360"/>
      </w:pPr>
      <w:rPr>
        <w:rFonts w:ascii="Wingdings" w:hAnsi="Wingdings" w:hint="default"/>
      </w:rPr>
    </w:lvl>
    <w:lvl w:ilvl="3" w:tplc="3B7443B0">
      <w:start w:val="1"/>
      <w:numFmt w:val="bullet"/>
      <w:lvlText w:val=""/>
      <w:lvlJc w:val="left"/>
      <w:pPr>
        <w:ind w:left="2880" w:hanging="360"/>
      </w:pPr>
      <w:rPr>
        <w:rFonts w:ascii="Symbol" w:hAnsi="Symbol" w:hint="default"/>
      </w:rPr>
    </w:lvl>
    <w:lvl w:ilvl="4" w:tplc="21503C86">
      <w:start w:val="1"/>
      <w:numFmt w:val="bullet"/>
      <w:lvlText w:val="o"/>
      <w:lvlJc w:val="left"/>
      <w:pPr>
        <w:ind w:left="3600" w:hanging="360"/>
      </w:pPr>
      <w:rPr>
        <w:rFonts w:ascii="Courier New" w:hAnsi="Courier New" w:hint="default"/>
      </w:rPr>
    </w:lvl>
    <w:lvl w:ilvl="5" w:tplc="6942774C">
      <w:start w:val="1"/>
      <w:numFmt w:val="bullet"/>
      <w:lvlText w:val=""/>
      <w:lvlJc w:val="left"/>
      <w:pPr>
        <w:ind w:left="4320" w:hanging="360"/>
      </w:pPr>
      <w:rPr>
        <w:rFonts w:ascii="Wingdings" w:hAnsi="Wingdings" w:hint="default"/>
      </w:rPr>
    </w:lvl>
    <w:lvl w:ilvl="6" w:tplc="2C367A36">
      <w:start w:val="1"/>
      <w:numFmt w:val="bullet"/>
      <w:lvlText w:val=""/>
      <w:lvlJc w:val="left"/>
      <w:pPr>
        <w:ind w:left="5040" w:hanging="360"/>
      </w:pPr>
      <w:rPr>
        <w:rFonts w:ascii="Symbol" w:hAnsi="Symbol" w:hint="default"/>
      </w:rPr>
    </w:lvl>
    <w:lvl w:ilvl="7" w:tplc="FF90C9C2">
      <w:start w:val="1"/>
      <w:numFmt w:val="bullet"/>
      <w:lvlText w:val="o"/>
      <w:lvlJc w:val="left"/>
      <w:pPr>
        <w:ind w:left="5760" w:hanging="360"/>
      </w:pPr>
      <w:rPr>
        <w:rFonts w:ascii="Courier New" w:hAnsi="Courier New" w:hint="default"/>
      </w:rPr>
    </w:lvl>
    <w:lvl w:ilvl="8" w:tplc="CC2663E4">
      <w:start w:val="1"/>
      <w:numFmt w:val="bullet"/>
      <w:lvlText w:val=""/>
      <w:lvlJc w:val="left"/>
      <w:pPr>
        <w:ind w:left="6480" w:hanging="360"/>
      </w:pPr>
      <w:rPr>
        <w:rFonts w:ascii="Wingdings" w:hAnsi="Wingdings" w:hint="default"/>
      </w:rPr>
    </w:lvl>
  </w:abstractNum>
  <w:abstractNum w:abstractNumId="3" w15:restartNumberingAfterBreak="0">
    <w:nsid w:val="6A3AF0DA"/>
    <w:multiLevelType w:val="hybridMultilevel"/>
    <w:tmpl w:val="8AAEDAB8"/>
    <w:lvl w:ilvl="0" w:tplc="3EFA7722">
      <w:start w:val="1"/>
      <w:numFmt w:val="decimal"/>
      <w:lvlText w:val="%1."/>
      <w:lvlJc w:val="left"/>
      <w:pPr>
        <w:ind w:left="720" w:hanging="360"/>
      </w:pPr>
    </w:lvl>
    <w:lvl w:ilvl="1" w:tplc="E84899EA">
      <w:start w:val="1"/>
      <w:numFmt w:val="lowerLetter"/>
      <w:lvlText w:val="%2."/>
      <w:lvlJc w:val="left"/>
      <w:pPr>
        <w:ind w:left="1440" w:hanging="360"/>
      </w:pPr>
    </w:lvl>
    <w:lvl w:ilvl="2" w:tplc="50B236D8">
      <w:start w:val="1"/>
      <w:numFmt w:val="lowerRoman"/>
      <w:lvlText w:val="%3."/>
      <w:lvlJc w:val="right"/>
      <w:pPr>
        <w:ind w:left="2160" w:hanging="180"/>
      </w:pPr>
    </w:lvl>
    <w:lvl w:ilvl="3" w:tplc="5D04BBD4">
      <w:start w:val="1"/>
      <w:numFmt w:val="decimal"/>
      <w:lvlText w:val="%4."/>
      <w:lvlJc w:val="left"/>
      <w:pPr>
        <w:ind w:left="2880" w:hanging="360"/>
      </w:pPr>
    </w:lvl>
    <w:lvl w:ilvl="4" w:tplc="22A43E56">
      <w:start w:val="1"/>
      <w:numFmt w:val="lowerLetter"/>
      <w:lvlText w:val="%5."/>
      <w:lvlJc w:val="left"/>
      <w:pPr>
        <w:ind w:left="3600" w:hanging="360"/>
      </w:pPr>
    </w:lvl>
    <w:lvl w:ilvl="5" w:tplc="C0DEA534">
      <w:start w:val="1"/>
      <w:numFmt w:val="lowerRoman"/>
      <w:lvlText w:val="%6."/>
      <w:lvlJc w:val="right"/>
      <w:pPr>
        <w:ind w:left="4320" w:hanging="180"/>
      </w:pPr>
    </w:lvl>
    <w:lvl w:ilvl="6" w:tplc="29667D6A">
      <w:start w:val="1"/>
      <w:numFmt w:val="decimal"/>
      <w:lvlText w:val="%7."/>
      <w:lvlJc w:val="left"/>
      <w:pPr>
        <w:ind w:left="5040" w:hanging="360"/>
      </w:pPr>
    </w:lvl>
    <w:lvl w:ilvl="7" w:tplc="BDE468F8">
      <w:start w:val="1"/>
      <w:numFmt w:val="lowerLetter"/>
      <w:lvlText w:val="%8."/>
      <w:lvlJc w:val="left"/>
      <w:pPr>
        <w:ind w:left="5760" w:hanging="360"/>
      </w:pPr>
    </w:lvl>
    <w:lvl w:ilvl="8" w:tplc="70B09C44">
      <w:start w:val="1"/>
      <w:numFmt w:val="lowerRoman"/>
      <w:lvlText w:val="%9."/>
      <w:lvlJc w:val="right"/>
      <w:pPr>
        <w:ind w:left="6480" w:hanging="180"/>
      </w:pPr>
    </w:lvl>
  </w:abstractNum>
  <w:num w:numId="1" w16cid:durableId="290208674">
    <w:abstractNumId w:val="2"/>
  </w:num>
  <w:num w:numId="2" w16cid:durableId="2117483284">
    <w:abstractNumId w:val="1"/>
  </w:num>
  <w:num w:numId="3" w16cid:durableId="1811744582">
    <w:abstractNumId w:val="3"/>
  </w:num>
  <w:num w:numId="4" w16cid:durableId="154471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BEFBC0"/>
    <w:rsid w:val="006043F4"/>
    <w:rsid w:val="00AD2652"/>
    <w:rsid w:val="00DE7040"/>
    <w:rsid w:val="08CD8D7F"/>
    <w:rsid w:val="0DBEFBC0"/>
    <w:rsid w:val="2714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2ED1"/>
  <w15:chartTrackingRefBased/>
  <w15:docId w15:val="{9D74B48C-B736-4A83-9826-2906C4AF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8CD8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2449</Characters>
  <Application>Microsoft Office Word</Application>
  <DocSecurity>0</DocSecurity>
  <Lines>41</Lines>
  <Paragraphs>20</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Saad Aljohani</cp:lastModifiedBy>
  <cp:revision>2</cp:revision>
  <dcterms:created xsi:type="dcterms:W3CDTF">2026-03-15T08:39:00Z</dcterms:created>
  <dcterms:modified xsi:type="dcterms:W3CDTF">2026-03-29T07:21:00Z</dcterms:modified>
</cp:coreProperties>
</file>