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B0D5D" w14:textId="130FC213" w:rsidR="00FF14EC" w:rsidRDefault="524EB7BF" w:rsidP="59E080BE">
      <w:pPr>
        <w:spacing w:before="240" w:after="120"/>
      </w:pPr>
      <w:r w:rsidRPr="59E080BE">
        <w:rPr>
          <w:rFonts w:ascii="Aptos" w:eastAsia="Aptos" w:hAnsi="Aptos" w:cs="Aptos"/>
          <w:b/>
          <w:bCs/>
          <w:color w:val="303030"/>
          <w:sz w:val="21"/>
          <w:szCs w:val="21"/>
        </w:rPr>
        <w:t>Jump Convergence Test (and Exercises)</w:t>
      </w:r>
    </w:p>
    <w:p w14:paraId="0B04A939" w14:textId="1D065229" w:rsidR="00FF14EC" w:rsidRDefault="524EB7BF" w:rsidP="59E080BE">
      <w:pPr>
        <w:spacing w:after="120"/>
      </w:pPr>
      <w:r w:rsidRPr="59E080BE">
        <w:rPr>
          <w:rFonts w:ascii="Aptos" w:eastAsia="Aptos" w:hAnsi="Aptos" w:cs="Aptos"/>
          <w:b/>
          <w:bCs/>
          <w:color w:val="303030"/>
          <w:sz w:val="21"/>
          <w:szCs w:val="21"/>
        </w:rPr>
        <w:t>Equipment Needed:</w:t>
      </w:r>
      <w:r w:rsidRPr="59E080BE">
        <w:rPr>
          <w:rFonts w:ascii="Aptos" w:eastAsia="Aptos" w:hAnsi="Aptos" w:cs="Aptos"/>
          <w:color w:val="303030"/>
          <w:sz w:val="21"/>
          <w:szCs w:val="21"/>
        </w:rPr>
        <w:t xml:space="preserve"> A distant detailed target (e.g., a letter on a 6-m test chart) and a near detailed accommodative target (e.g., a pencil or a small letter on a stick).</w:t>
      </w:r>
    </w:p>
    <w:p w14:paraId="70E28A98" w14:textId="3516D6D1" w:rsidR="00FF14EC" w:rsidRDefault="524EB7BF" w:rsidP="59E080BE">
      <w:pPr>
        <w:spacing w:after="120"/>
      </w:pPr>
      <w:r w:rsidRPr="59E080BE">
        <w:rPr>
          <w:rFonts w:ascii="Aptos" w:eastAsia="Aptos" w:hAnsi="Aptos" w:cs="Aptos"/>
          <w:b/>
          <w:bCs/>
          <w:color w:val="303030"/>
          <w:sz w:val="21"/>
          <w:szCs w:val="21"/>
        </w:rPr>
        <w:t>I. Purpose and Principles</w:t>
      </w:r>
    </w:p>
    <w:p w14:paraId="4FBA5AA5" w14:textId="145A7D55" w:rsidR="00FF14EC" w:rsidRDefault="524EB7BF" w:rsidP="59E080BE">
      <w:pPr>
        <w:pStyle w:val="ListParagraph"/>
        <w:numPr>
          <w:ilvl w:val="0"/>
          <w:numId w:val="4"/>
        </w:numPr>
        <w:spacing w:after="120"/>
        <w:rPr>
          <w:rFonts w:ascii="Aptos" w:eastAsia="Aptos" w:hAnsi="Aptos" w:cs="Aptos"/>
          <w:color w:val="303030"/>
          <w:sz w:val="21"/>
          <w:szCs w:val="21"/>
        </w:rPr>
      </w:pPr>
      <w:r w:rsidRPr="59E080BE">
        <w:rPr>
          <w:rFonts w:ascii="Aptos" w:eastAsia="Aptos" w:hAnsi="Aptos" w:cs="Aptos"/>
          <w:b/>
          <w:bCs/>
          <w:color w:val="303030"/>
          <w:sz w:val="21"/>
          <w:szCs w:val="21"/>
        </w:rPr>
        <w:t>Clinical Value:</w:t>
      </w:r>
      <w:r w:rsidRPr="59E080BE">
        <w:rPr>
          <w:rFonts w:ascii="Aptos" w:eastAsia="Aptos" w:hAnsi="Aptos" w:cs="Aptos"/>
          <w:color w:val="303030"/>
          <w:sz w:val="21"/>
          <w:szCs w:val="21"/>
        </w:rPr>
        <w:t xml:space="preserve"> This procedure evaluates the stamina, facility, and quality of the vergence system. Unlike the standard "push-up" Near Point of Convergence (NPC) which uses a smooth, gradual stimulus (a "ramp" stimulus), jump convergence demands a rapid, sudden change in vergence (a "step" stimulus).</w:t>
      </w:r>
    </w:p>
    <w:p w14:paraId="0172A1B5" w14:textId="59F30BFC" w:rsidR="00FF14EC" w:rsidRDefault="524EB7BF" w:rsidP="59E080BE">
      <w:pPr>
        <w:pStyle w:val="ListParagraph"/>
        <w:numPr>
          <w:ilvl w:val="0"/>
          <w:numId w:val="4"/>
        </w:numPr>
        <w:spacing w:after="120"/>
        <w:rPr>
          <w:rFonts w:ascii="Aptos" w:eastAsia="Aptos" w:hAnsi="Aptos" w:cs="Aptos"/>
          <w:color w:val="303030"/>
          <w:sz w:val="21"/>
          <w:szCs w:val="21"/>
        </w:rPr>
      </w:pPr>
      <w:r w:rsidRPr="59E080BE">
        <w:rPr>
          <w:rFonts w:ascii="Aptos" w:eastAsia="Aptos" w:hAnsi="Aptos" w:cs="Aptos"/>
          <w:b/>
          <w:bCs/>
          <w:color w:val="303030"/>
          <w:sz w:val="21"/>
          <w:szCs w:val="21"/>
        </w:rPr>
        <w:t>Physiological Basis:</w:t>
      </w:r>
      <w:r w:rsidRPr="59E080BE">
        <w:rPr>
          <w:rFonts w:ascii="Aptos" w:eastAsia="Aptos" w:hAnsi="Aptos" w:cs="Aptos"/>
          <w:color w:val="303030"/>
          <w:sz w:val="21"/>
          <w:szCs w:val="21"/>
        </w:rPr>
        <w:t xml:space="preserve"> It tests the visual system's ability to make large-scale, rapid disjunctive eye movements. It is considered a more difficult test than the standard push-up NPC because it requires highly accurate, immediate analysis of retinal disparity and physiological diplopia.</w:t>
      </w:r>
    </w:p>
    <w:p w14:paraId="54C9E4F4" w14:textId="5EA59CC9" w:rsidR="00FF14EC" w:rsidRDefault="524EB7BF" w:rsidP="59E080BE">
      <w:pPr>
        <w:spacing w:after="120"/>
      </w:pPr>
      <w:r w:rsidRPr="59E080BE">
        <w:rPr>
          <w:rFonts w:ascii="Aptos" w:eastAsia="Aptos" w:hAnsi="Aptos" w:cs="Aptos"/>
          <w:b/>
          <w:bCs/>
          <w:color w:val="303030"/>
          <w:sz w:val="21"/>
          <w:szCs w:val="21"/>
        </w:rPr>
        <w:t>II. Diagnostic Procedure</w:t>
      </w:r>
    </w:p>
    <w:p w14:paraId="3C1752C7" w14:textId="3B463E39" w:rsidR="00FF14EC" w:rsidRDefault="524EB7BF" w:rsidP="59E080BE">
      <w:pPr>
        <w:pStyle w:val="ListParagraph"/>
        <w:numPr>
          <w:ilvl w:val="0"/>
          <w:numId w:val="3"/>
        </w:numPr>
        <w:spacing w:after="120"/>
        <w:rPr>
          <w:rFonts w:ascii="Aptos" w:eastAsia="Aptos" w:hAnsi="Aptos" w:cs="Aptos"/>
          <w:color w:val="303030"/>
          <w:sz w:val="21"/>
          <w:szCs w:val="21"/>
        </w:rPr>
      </w:pPr>
      <w:r w:rsidRPr="59E080BE">
        <w:rPr>
          <w:rFonts w:ascii="Aptos" w:eastAsia="Aptos" w:hAnsi="Aptos" w:cs="Aptos"/>
          <w:b/>
          <w:bCs/>
          <w:color w:val="303030"/>
          <w:sz w:val="21"/>
          <w:szCs w:val="21"/>
        </w:rPr>
        <w:t>Establish Baseline:</w:t>
      </w:r>
      <w:r w:rsidRPr="59E080BE">
        <w:rPr>
          <w:rFonts w:ascii="Aptos" w:eastAsia="Aptos" w:hAnsi="Aptos" w:cs="Aptos"/>
          <w:color w:val="303030"/>
          <w:sz w:val="21"/>
          <w:szCs w:val="21"/>
        </w:rPr>
        <w:t xml:space="preserve"> First, measure the patient's standard push-up NPC by bringing a target toward the nose until doubling occurs.</w:t>
      </w:r>
    </w:p>
    <w:p w14:paraId="2488F888" w14:textId="15142BF6" w:rsidR="00FF14EC" w:rsidRDefault="524EB7BF" w:rsidP="59E080BE">
      <w:pPr>
        <w:pStyle w:val="ListParagraph"/>
        <w:numPr>
          <w:ilvl w:val="0"/>
          <w:numId w:val="3"/>
        </w:numPr>
        <w:spacing w:after="120"/>
        <w:rPr>
          <w:rFonts w:ascii="Aptos" w:eastAsia="Aptos" w:hAnsi="Aptos" w:cs="Aptos"/>
          <w:color w:val="303030"/>
          <w:sz w:val="21"/>
          <w:szCs w:val="21"/>
        </w:rPr>
      </w:pPr>
      <w:r w:rsidRPr="59E080BE">
        <w:rPr>
          <w:rFonts w:ascii="Aptos" w:eastAsia="Aptos" w:hAnsi="Aptos" w:cs="Aptos"/>
          <w:b/>
          <w:bCs/>
          <w:color w:val="303030"/>
          <w:sz w:val="21"/>
          <w:szCs w:val="21"/>
        </w:rPr>
        <w:t>Position Targets:</w:t>
      </w:r>
      <w:r w:rsidRPr="59E080BE">
        <w:rPr>
          <w:rFonts w:ascii="Aptos" w:eastAsia="Aptos" w:hAnsi="Aptos" w:cs="Aptos"/>
          <w:color w:val="303030"/>
          <w:sz w:val="21"/>
          <w:szCs w:val="21"/>
        </w:rPr>
        <w:t xml:space="preserve"> Have the patient fixate on the distant target (e.g., a letter at 6 meters). The examiner then positions the near target just a few centimeters further away than the patient's measured push-up NPC.</w:t>
      </w:r>
    </w:p>
    <w:p w14:paraId="6EA40E86" w14:textId="0A028E03" w:rsidR="00FF14EC" w:rsidRDefault="524EB7BF" w:rsidP="59E080BE">
      <w:pPr>
        <w:pStyle w:val="ListParagraph"/>
        <w:numPr>
          <w:ilvl w:val="0"/>
          <w:numId w:val="3"/>
        </w:numPr>
        <w:spacing w:after="120"/>
        <w:rPr>
          <w:rFonts w:ascii="Aptos" w:eastAsia="Aptos" w:hAnsi="Aptos" w:cs="Aptos"/>
          <w:color w:val="303030"/>
          <w:sz w:val="21"/>
          <w:szCs w:val="21"/>
        </w:rPr>
      </w:pPr>
      <w:r w:rsidRPr="59E080BE">
        <w:rPr>
          <w:rFonts w:ascii="Aptos" w:eastAsia="Aptos" w:hAnsi="Aptos" w:cs="Aptos"/>
          <w:b/>
          <w:bCs/>
          <w:color w:val="303030"/>
          <w:sz w:val="21"/>
          <w:szCs w:val="21"/>
        </w:rPr>
        <w:t>The "Jump":</w:t>
      </w:r>
      <w:r w:rsidRPr="59E080BE">
        <w:rPr>
          <w:rFonts w:ascii="Aptos" w:eastAsia="Aptos" w:hAnsi="Aptos" w:cs="Aptos"/>
          <w:color w:val="303030"/>
          <w:sz w:val="21"/>
          <w:szCs w:val="21"/>
        </w:rPr>
        <w:t xml:space="preserve"> Instruct the patient to rapidly transfer their fixation from the distant target to the near target, attempting to make it single and clear immediately.</w:t>
      </w:r>
    </w:p>
    <w:p w14:paraId="69CCFAD5" w14:textId="4C3A91F8" w:rsidR="00FF14EC" w:rsidRDefault="524EB7BF" w:rsidP="59E080BE">
      <w:pPr>
        <w:pStyle w:val="ListParagraph"/>
        <w:numPr>
          <w:ilvl w:val="0"/>
          <w:numId w:val="3"/>
        </w:numPr>
        <w:spacing w:after="120"/>
        <w:rPr>
          <w:rFonts w:ascii="Aptos" w:eastAsia="Aptos" w:hAnsi="Aptos" w:cs="Aptos"/>
          <w:color w:val="303030"/>
          <w:sz w:val="21"/>
          <w:szCs w:val="21"/>
        </w:rPr>
      </w:pPr>
      <w:r w:rsidRPr="59E080BE">
        <w:rPr>
          <w:rFonts w:ascii="Aptos" w:eastAsia="Aptos" w:hAnsi="Aptos" w:cs="Aptos"/>
          <w:b/>
          <w:bCs/>
          <w:color w:val="303030"/>
          <w:sz w:val="21"/>
          <w:szCs w:val="21"/>
        </w:rPr>
        <w:t>Alternation:</w:t>
      </w:r>
      <w:r w:rsidRPr="59E080BE">
        <w:rPr>
          <w:rFonts w:ascii="Aptos" w:eastAsia="Aptos" w:hAnsi="Aptos" w:cs="Aptos"/>
          <w:color w:val="303030"/>
          <w:sz w:val="21"/>
          <w:szCs w:val="21"/>
        </w:rPr>
        <w:t xml:space="preserve"> Ask the patient to rapidly alternate fixation back and forth between the near and distant targets. Periodically check that the near target is being maintained close to their NPC.</w:t>
      </w:r>
    </w:p>
    <w:p w14:paraId="50EA77EB" w14:textId="50324BF1" w:rsidR="00FF14EC" w:rsidRDefault="524EB7BF" w:rsidP="59E080BE">
      <w:pPr>
        <w:spacing w:after="120"/>
      </w:pPr>
      <w:r w:rsidRPr="59E080BE">
        <w:rPr>
          <w:rFonts w:ascii="Aptos" w:eastAsia="Aptos" w:hAnsi="Aptos" w:cs="Aptos"/>
          <w:b/>
          <w:bCs/>
          <w:color w:val="303030"/>
          <w:sz w:val="21"/>
          <w:szCs w:val="21"/>
        </w:rPr>
        <w:t>III. Clinical Observation &amp; Interpretation</w:t>
      </w:r>
    </w:p>
    <w:p w14:paraId="2FE4C9CE" w14:textId="3C28AF7A" w:rsidR="00FF14EC" w:rsidRDefault="524EB7BF" w:rsidP="59E080BE">
      <w:pPr>
        <w:pStyle w:val="ListParagraph"/>
        <w:numPr>
          <w:ilvl w:val="0"/>
          <w:numId w:val="2"/>
        </w:numPr>
        <w:spacing w:after="120"/>
        <w:rPr>
          <w:rFonts w:ascii="Aptos" w:eastAsia="Aptos" w:hAnsi="Aptos" w:cs="Aptos"/>
          <w:color w:val="303030"/>
          <w:sz w:val="21"/>
          <w:szCs w:val="21"/>
        </w:rPr>
      </w:pPr>
      <w:r w:rsidRPr="59E080BE">
        <w:rPr>
          <w:rFonts w:ascii="Aptos" w:eastAsia="Aptos" w:hAnsi="Aptos" w:cs="Aptos"/>
          <w:b/>
          <w:bCs/>
          <w:color w:val="303030"/>
          <w:sz w:val="21"/>
          <w:szCs w:val="21"/>
        </w:rPr>
        <w:t>Normal Response:</w:t>
      </w:r>
      <w:r w:rsidRPr="59E080BE">
        <w:rPr>
          <w:rFonts w:ascii="Aptos" w:eastAsia="Aptos" w:hAnsi="Aptos" w:cs="Aptos"/>
          <w:color w:val="303030"/>
          <w:sz w:val="21"/>
          <w:szCs w:val="21"/>
        </w:rPr>
        <w:t xml:space="preserve"> A patient with normal vergence facility will be able to make a single, smooth, and rapid change in convergence to successfully fuse the targets at both distances.</w:t>
      </w:r>
    </w:p>
    <w:p w14:paraId="1048FD20" w14:textId="63D09586" w:rsidR="00FF14EC" w:rsidRDefault="524EB7BF" w:rsidP="59E080BE">
      <w:pPr>
        <w:pStyle w:val="ListParagraph"/>
        <w:numPr>
          <w:ilvl w:val="0"/>
          <w:numId w:val="2"/>
        </w:numPr>
        <w:spacing w:after="120"/>
        <w:rPr>
          <w:rFonts w:ascii="Aptos" w:eastAsia="Aptos" w:hAnsi="Aptos" w:cs="Aptos"/>
          <w:color w:val="303030"/>
          <w:sz w:val="21"/>
          <w:szCs w:val="21"/>
        </w:rPr>
      </w:pPr>
      <w:r w:rsidRPr="59E080BE">
        <w:rPr>
          <w:rFonts w:ascii="Aptos" w:eastAsia="Aptos" w:hAnsi="Aptos" w:cs="Aptos"/>
          <w:b/>
          <w:bCs/>
          <w:color w:val="303030"/>
          <w:sz w:val="21"/>
          <w:szCs w:val="21"/>
        </w:rPr>
        <w:t>Abnormal Response (Convergence Insufficiency):</w:t>
      </w:r>
      <w:r w:rsidRPr="59E080BE">
        <w:rPr>
          <w:rFonts w:ascii="Aptos" w:eastAsia="Aptos" w:hAnsi="Aptos" w:cs="Aptos"/>
          <w:color w:val="303030"/>
          <w:sz w:val="21"/>
          <w:szCs w:val="21"/>
        </w:rPr>
        <w:t xml:space="preserve"> Patients with poor convergence will struggle significantly with this "step" demand. You will observe them making several jerky, corrective adjustments to their angle of convergence rather than a single smooth movement, and they will frequently notice diplopia. In cases of convergence weakness exophoria, the "jump NPC" break point is often much further away (e.g., &gt;20 cm) than their push-up NPC.</w:t>
      </w:r>
    </w:p>
    <w:p w14:paraId="70B171D4" w14:textId="34104B1F" w:rsidR="00FF14EC" w:rsidRDefault="524EB7BF" w:rsidP="59E080BE">
      <w:pPr>
        <w:pStyle w:val="ListParagraph"/>
        <w:numPr>
          <w:ilvl w:val="0"/>
          <w:numId w:val="2"/>
        </w:numPr>
        <w:spacing w:after="120"/>
        <w:rPr>
          <w:rFonts w:ascii="Aptos" w:eastAsia="Aptos" w:hAnsi="Aptos" w:cs="Aptos"/>
          <w:color w:val="303030"/>
          <w:sz w:val="21"/>
          <w:szCs w:val="21"/>
        </w:rPr>
      </w:pPr>
      <w:r w:rsidRPr="59E080BE">
        <w:rPr>
          <w:rFonts w:ascii="Aptos" w:eastAsia="Aptos" w:hAnsi="Aptos" w:cs="Aptos"/>
          <w:b/>
          <w:bCs/>
          <w:color w:val="303030"/>
          <w:sz w:val="21"/>
          <w:szCs w:val="21"/>
        </w:rPr>
        <w:t>Compensatory Head Posture (Safety Warning):</w:t>
      </w:r>
      <w:r w:rsidRPr="59E080BE">
        <w:rPr>
          <w:rFonts w:ascii="Aptos" w:eastAsia="Aptos" w:hAnsi="Aptos" w:cs="Aptos"/>
          <w:color w:val="303030"/>
          <w:sz w:val="21"/>
          <w:szCs w:val="21"/>
        </w:rPr>
        <w:t xml:space="preserve"> A very common, rapid reflex in patients struggling with this test is to suddenly pull their head backward to artificially increase the fixation distance. </w:t>
      </w:r>
      <w:r w:rsidRPr="59E080BE">
        <w:rPr>
          <w:rFonts w:ascii="Aptos" w:eastAsia="Aptos" w:hAnsi="Aptos" w:cs="Aptos"/>
          <w:b/>
          <w:bCs/>
          <w:color w:val="303030"/>
          <w:sz w:val="21"/>
          <w:szCs w:val="21"/>
        </w:rPr>
        <w:t>Clinical Pearl:</w:t>
      </w:r>
      <w:r w:rsidRPr="59E080BE">
        <w:rPr>
          <w:rFonts w:ascii="Aptos" w:eastAsia="Aptos" w:hAnsi="Aptos" w:cs="Aptos"/>
          <w:color w:val="303030"/>
          <w:sz w:val="21"/>
          <w:szCs w:val="21"/>
        </w:rPr>
        <w:t xml:space="preserve"> Be very careful to ensure the patient does not bang their head on a hard chair headrest or wall behind them when they reflexively pull back.</w:t>
      </w:r>
    </w:p>
    <w:p w14:paraId="16A23FD7" w14:textId="119C0017" w:rsidR="00FF14EC" w:rsidRDefault="524EB7BF" w:rsidP="59E080BE">
      <w:pPr>
        <w:spacing w:after="120"/>
      </w:pPr>
      <w:r w:rsidRPr="59E080BE">
        <w:rPr>
          <w:rFonts w:ascii="Aptos" w:eastAsia="Aptos" w:hAnsi="Aptos" w:cs="Aptos"/>
          <w:b/>
          <w:bCs/>
          <w:color w:val="303030"/>
          <w:sz w:val="21"/>
          <w:szCs w:val="21"/>
        </w:rPr>
        <w:t>IV. Advanced Clinical Pearls: Therapeutic Application</w:t>
      </w:r>
    </w:p>
    <w:p w14:paraId="7AC1880C" w14:textId="337352A6" w:rsidR="00FF14EC" w:rsidRDefault="524EB7BF" w:rsidP="59E080BE">
      <w:pPr>
        <w:pStyle w:val="ListParagraph"/>
        <w:numPr>
          <w:ilvl w:val="0"/>
          <w:numId w:val="1"/>
        </w:numPr>
        <w:spacing w:after="120"/>
        <w:rPr>
          <w:rFonts w:ascii="Aptos" w:eastAsia="Aptos" w:hAnsi="Aptos" w:cs="Aptos"/>
          <w:color w:val="303030"/>
          <w:sz w:val="21"/>
          <w:szCs w:val="21"/>
        </w:rPr>
      </w:pPr>
      <w:r w:rsidRPr="59E080BE">
        <w:rPr>
          <w:rFonts w:ascii="Aptos" w:eastAsia="Aptos" w:hAnsi="Aptos" w:cs="Aptos"/>
          <w:b/>
          <w:bCs/>
          <w:color w:val="303030"/>
          <w:sz w:val="21"/>
          <w:szCs w:val="21"/>
        </w:rPr>
        <w:t>Therapeutic Exercise:</w:t>
      </w:r>
      <w:r w:rsidRPr="59E080BE">
        <w:rPr>
          <w:rFonts w:ascii="Aptos" w:eastAsia="Aptos" w:hAnsi="Aptos" w:cs="Aptos"/>
          <w:color w:val="303030"/>
          <w:sz w:val="21"/>
          <w:szCs w:val="21"/>
        </w:rPr>
        <w:t xml:space="preserve"> Jump convergence is not just a diagnostic test; it is a highly effective orthoptic exercise used to treat convergence insufficiency, often prescribed alongside or after the patient has mastered simple push-up exercises.</w:t>
      </w:r>
    </w:p>
    <w:p w14:paraId="1425343A" w14:textId="059F4005" w:rsidR="00FF14EC" w:rsidRDefault="524EB7BF" w:rsidP="59E080BE">
      <w:pPr>
        <w:pStyle w:val="ListParagraph"/>
        <w:numPr>
          <w:ilvl w:val="0"/>
          <w:numId w:val="1"/>
        </w:numPr>
        <w:spacing w:after="120"/>
        <w:rPr>
          <w:rFonts w:ascii="Aptos" w:eastAsia="Aptos" w:hAnsi="Aptos" w:cs="Aptos"/>
          <w:color w:val="303030"/>
          <w:sz w:val="21"/>
          <w:szCs w:val="21"/>
        </w:rPr>
      </w:pPr>
      <w:r w:rsidRPr="59E080BE">
        <w:rPr>
          <w:rFonts w:ascii="Aptos" w:eastAsia="Aptos" w:hAnsi="Aptos" w:cs="Aptos"/>
          <w:b/>
          <w:bCs/>
          <w:color w:val="303030"/>
          <w:sz w:val="21"/>
          <w:szCs w:val="21"/>
        </w:rPr>
        <w:lastRenderedPageBreak/>
        <w:t>Adding Physiological Diplopia (Anti-Suppression):</w:t>
      </w:r>
      <w:r w:rsidRPr="59E080BE">
        <w:rPr>
          <w:rFonts w:ascii="Aptos" w:eastAsia="Aptos" w:hAnsi="Aptos" w:cs="Aptos"/>
          <w:color w:val="303030"/>
          <w:sz w:val="21"/>
          <w:szCs w:val="21"/>
        </w:rPr>
        <w:t xml:space="preserve"> To ensure the patient is genuinely converging and not simply suppressing one eye during therapy, you can introduce a third target. Have the patient hold an additional target a few centimeters </w:t>
      </w:r>
      <w:r w:rsidRPr="59E080BE">
        <w:rPr>
          <w:rFonts w:ascii="Aptos" w:eastAsia="Aptos" w:hAnsi="Aptos" w:cs="Aptos"/>
          <w:i/>
          <w:iCs/>
          <w:color w:val="303030"/>
          <w:sz w:val="21"/>
          <w:szCs w:val="21"/>
        </w:rPr>
        <w:t>beyond</w:t>
      </w:r>
      <w:r w:rsidRPr="59E080BE">
        <w:rPr>
          <w:rFonts w:ascii="Aptos" w:eastAsia="Aptos" w:hAnsi="Aptos" w:cs="Aptos"/>
          <w:color w:val="303030"/>
          <w:sz w:val="21"/>
          <w:szCs w:val="21"/>
        </w:rPr>
        <w:t xml:space="preserve"> the near target. As they jump their focus to the near target, they must simultaneously maintain awareness of the distal target, which should be seen in physiological diplopia (doubled). If they do not see the background target as doubled, suppression is occurring.</w:t>
      </w:r>
    </w:p>
    <w:p w14:paraId="2C078E63" w14:textId="4BF58083" w:rsidR="00FF14EC" w:rsidRDefault="00FF14EC"/>
    <w:sectPr w:rsidR="00FF1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1D245"/>
    <w:multiLevelType w:val="hybridMultilevel"/>
    <w:tmpl w:val="EA1842C6"/>
    <w:lvl w:ilvl="0" w:tplc="1C9259AA">
      <w:start w:val="1"/>
      <w:numFmt w:val="bullet"/>
      <w:lvlText w:val=""/>
      <w:lvlJc w:val="left"/>
      <w:pPr>
        <w:ind w:left="720" w:hanging="360"/>
      </w:pPr>
      <w:rPr>
        <w:rFonts w:ascii="Symbol" w:hAnsi="Symbol" w:hint="default"/>
      </w:rPr>
    </w:lvl>
    <w:lvl w:ilvl="1" w:tplc="3766CB32">
      <w:start w:val="1"/>
      <w:numFmt w:val="bullet"/>
      <w:lvlText w:val="o"/>
      <w:lvlJc w:val="left"/>
      <w:pPr>
        <w:ind w:left="1440" w:hanging="360"/>
      </w:pPr>
      <w:rPr>
        <w:rFonts w:ascii="Courier New" w:hAnsi="Courier New" w:hint="default"/>
      </w:rPr>
    </w:lvl>
    <w:lvl w:ilvl="2" w:tplc="C5D05CA4">
      <w:start w:val="1"/>
      <w:numFmt w:val="bullet"/>
      <w:lvlText w:val=""/>
      <w:lvlJc w:val="left"/>
      <w:pPr>
        <w:ind w:left="2160" w:hanging="360"/>
      </w:pPr>
      <w:rPr>
        <w:rFonts w:ascii="Wingdings" w:hAnsi="Wingdings" w:hint="default"/>
      </w:rPr>
    </w:lvl>
    <w:lvl w:ilvl="3" w:tplc="77D48C4A">
      <w:start w:val="1"/>
      <w:numFmt w:val="bullet"/>
      <w:lvlText w:val=""/>
      <w:lvlJc w:val="left"/>
      <w:pPr>
        <w:ind w:left="2880" w:hanging="360"/>
      </w:pPr>
      <w:rPr>
        <w:rFonts w:ascii="Symbol" w:hAnsi="Symbol" w:hint="default"/>
      </w:rPr>
    </w:lvl>
    <w:lvl w:ilvl="4" w:tplc="6FB628DC">
      <w:start w:val="1"/>
      <w:numFmt w:val="bullet"/>
      <w:lvlText w:val="o"/>
      <w:lvlJc w:val="left"/>
      <w:pPr>
        <w:ind w:left="3600" w:hanging="360"/>
      </w:pPr>
      <w:rPr>
        <w:rFonts w:ascii="Courier New" w:hAnsi="Courier New" w:hint="default"/>
      </w:rPr>
    </w:lvl>
    <w:lvl w:ilvl="5" w:tplc="C25A7116">
      <w:start w:val="1"/>
      <w:numFmt w:val="bullet"/>
      <w:lvlText w:val=""/>
      <w:lvlJc w:val="left"/>
      <w:pPr>
        <w:ind w:left="4320" w:hanging="360"/>
      </w:pPr>
      <w:rPr>
        <w:rFonts w:ascii="Wingdings" w:hAnsi="Wingdings" w:hint="default"/>
      </w:rPr>
    </w:lvl>
    <w:lvl w:ilvl="6" w:tplc="EB9C4112">
      <w:start w:val="1"/>
      <w:numFmt w:val="bullet"/>
      <w:lvlText w:val=""/>
      <w:lvlJc w:val="left"/>
      <w:pPr>
        <w:ind w:left="5040" w:hanging="360"/>
      </w:pPr>
      <w:rPr>
        <w:rFonts w:ascii="Symbol" w:hAnsi="Symbol" w:hint="default"/>
      </w:rPr>
    </w:lvl>
    <w:lvl w:ilvl="7" w:tplc="E0583D54">
      <w:start w:val="1"/>
      <w:numFmt w:val="bullet"/>
      <w:lvlText w:val="o"/>
      <w:lvlJc w:val="left"/>
      <w:pPr>
        <w:ind w:left="5760" w:hanging="360"/>
      </w:pPr>
      <w:rPr>
        <w:rFonts w:ascii="Courier New" w:hAnsi="Courier New" w:hint="default"/>
      </w:rPr>
    </w:lvl>
    <w:lvl w:ilvl="8" w:tplc="12581834">
      <w:start w:val="1"/>
      <w:numFmt w:val="bullet"/>
      <w:lvlText w:val=""/>
      <w:lvlJc w:val="left"/>
      <w:pPr>
        <w:ind w:left="6480" w:hanging="360"/>
      </w:pPr>
      <w:rPr>
        <w:rFonts w:ascii="Wingdings" w:hAnsi="Wingdings" w:hint="default"/>
      </w:rPr>
    </w:lvl>
  </w:abstractNum>
  <w:abstractNum w:abstractNumId="1" w15:restartNumberingAfterBreak="0">
    <w:nsid w:val="4C90AB69"/>
    <w:multiLevelType w:val="hybridMultilevel"/>
    <w:tmpl w:val="E8DA9254"/>
    <w:lvl w:ilvl="0" w:tplc="14F2DF00">
      <w:start w:val="1"/>
      <w:numFmt w:val="bullet"/>
      <w:lvlText w:val=""/>
      <w:lvlJc w:val="left"/>
      <w:pPr>
        <w:ind w:left="720" w:hanging="360"/>
      </w:pPr>
      <w:rPr>
        <w:rFonts w:ascii="Symbol" w:hAnsi="Symbol" w:hint="default"/>
      </w:rPr>
    </w:lvl>
    <w:lvl w:ilvl="1" w:tplc="7CA067B2">
      <w:start w:val="1"/>
      <w:numFmt w:val="bullet"/>
      <w:lvlText w:val="o"/>
      <w:lvlJc w:val="left"/>
      <w:pPr>
        <w:ind w:left="1440" w:hanging="360"/>
      </w:pPr>
      <w:rPr>
        <w:rFonts w:ascii="Courier New" w:hAnsi="Courier New" w:hint="default"/>
      </w:rPr>
    </w:lvl>
    <w:lvl w:ilvl="2" w:tplc="7C625B46">
      <w:start w:val="1"/>
      <w:numFmt w:val="bullet"/>
      <w:lvlText w:val=""/>
      <w:lvlJc w:val="left"/>
      <w:pPr>
        <w:ind w:left="2160" w:hanging="360"/>
      </w:pPr>
      <w:rPr>
        <w:rFonts w:ascii="Wingdings" w:hAnsi="Wingdings" w:hint="default"/>
      </w:rPr>
    </w:lvl>
    <w:lvl w:ilvl="3" w:tplc="16D6600E">
      <w:start w:val="1"/>
      <w:numFmt w:val="bullet"/>
      <w:lvlText w:val=""/>
      <w:lvlJc w:val="left"/>
      <w:pPr>
        <w:ind w:left="2880" w:hanging="360"/>
      </w:pPr>
      <w:rPr>
        <w:rFonts w:ascii="Symbol" w:hAnsi="Symbol" w:hint="default"/>
      </w:rPr>
    </w:lvl>
    <w:lvl w:ilvl="4" w:tplc="50623AE2">
      <w:start w:val="1"/>
      <w:numFmt w:val="bullet"/>
      <w:lvlText w:val="o"/>
      <w:lvlJc w:val="left"/>
      <w:pPr>
        <w:ind w:left="3600" w:hanging="360"/>
      </w:pPr>
      <w:rPr>
        <w:rFonts w:ascii="Courier New" w:hAnsi="Courier New" w:hint="default"/>
      </w:rPr>
    </w:lvl>
    <w:lvl w:ilvl="5" w:tplc="5A2CE060">
      <w:start w:val="1"/>
      <w:numFmt w:val="bullet"/>
      <w:lvlText w:val=""/>
      <w:lvlJc w:val="left"/>
      <w:pPr>
        <w:ind w:left="4320" w:hanging="360"/>
      </w:pPr>
      <w:rPr>
        <w:rFonts w:ascii="Wingdings" w:hAnsi="Wingdings" w:hint="default"/>
      </w:rPr>
    </w:lvl>
    <w:lvl w:ilvl="6" w:tplc="58F06392">
      <w:start w:val="1"/>
      <w:numFmt w:val="bullet"/>
      <w:lvlText w:val=""/>
      <w:lvlJc w:val="left"/>
      <w:pPr>
        <w:ind w:left="5040" w:hanging="360"/>
      </w:pPr>
      <w:rPr>
        <w:rFonts w:ascii="Symbol" w:hAnsi="Symbol" w:hint="default"/>
      </w:rPr>
    </w:lvl>
    <w:lvl w:ilvl="7" w:tplc="42CAB260">
      <w:start w:val="1"/>
      <w:numFmt w:val="bullet"/>
      <w:lvlText w:val="o"/>
      <w:lvlJc w:val="left"/>
      <w:pPr>
        <w:ind w:left="5760" w:hanging="360"/>
      </w:pPr>
      <w:rPr>
        <w:rFonts w:ascii="Courier New" w:hAnsi="Courier New" w:hint="default"/>
      </w:rPr>
    </w:lvl>
    <w:lvl w:ilvl="8" w:tplc="AD44B7CE">
      <w:start w:val="1"/>
      <w:numFmt w:val="bullet"/>
      <w:lvlText w:val=""/>
      <w:lvlJc w:val="left"/>
      <w:pPr>
        <w:ind w:left="6480" w:hanging="360"/>
      </w:pPr>
      <w:rPr>
        <w:rFonts w:ascii="Wingdings" w:hAnsi="Wingdings" w:hint="default"/>
      </w:rPr>
    </w:lvl>
  </w:abstractNum>
  <w:abstractNum w:abstractNumId="2" w15:restartNumberingAfterBreak="0">
    <w:nsid w:val="6105E21E"/>
    <w:multiLevelType w:val="hybridMultilevel"/>
    <w:tmpl w:val="1C4E33F6"/>
    <w:lvl w:ilvl="0" w:tplc="EEC0EC48">
      <w:start w:val="1"/>
      <w:numFmt w:val="bullet"/>
      <w:lvlText w:val=""/>
      <w:lvlJc w:val="left"/>
      <w:pPr>
        <w:ind w:left="720" w:hanging="360"/>
      </w:pPr>
      <w:rPr>
        <w:rFonts w:ascii="Symbol" w:hAnsi="Symbol" w:hint="default"/>
      </w:rPr>
    </w:lvl>
    <w:lvl w:ilvl="1" w:tplc="0E704040">
      <w:start w:val="1"/>
      <w:numFmt w:val="bullet"/>
      <w:lvlText w:val="o"/>
      <w:lvlJc w:val="left"/>
      <w:pPr>
        <w:ind w:left="1440" w:hanging="360"/>
      </w:pPr>
      <w:rPr>
        <w:rFonts w:ascii="Courier New" w:hAnsi="Courier New" w:hint="default"/>
      </w:rPr>
    </w:lvl>
    <w:lvl w:ilvl="2" w:tplc="51AEF892">
      <w:start w:val="1"/>
      <w:numFmt w:val="bullet"/>
      <w:lvlText w:val=""/>
      <w:lvlJc w:val="left"/>
      <w:pPr>
        <w:ind w:left="2160" w:hanging="360"/>
      </w:pPr>
      <w:rPr>
        <w:rFonts w:ascii="Wingdings" w:hAnsi="Wingdings" w:hint="default"/>
      </w:rPr>
    </w:lvl>
    <w:lvl w:ilvl="3" w:tplc="B0F63F04">
      <w:start w:val="1"/>
      <w:numFmt w:val="bullet"/>
      <w:lvlText w:val=""/>
      <w:lvlJc w:val="left"/>
      <w:pPr>
        <w:ind w:left="2880" w:hanging="360"/>
      </w:pPr>
      <w:rPr>
        <w:rFonts w:ascii="Symbol" w:hAnsi="Symbol" w:hint="default"/>
      </w:rPr>
    </w:lvl>
    <w:lvl w:ilvl="4" w:tplc="C85887C4">
      <w:start w:val="1"/>
      <w:numFmt w:val="bullet"/>
      <w:lvlText w:val="o"/>
      <w:lvlJc w:val="left"/>
      <w:pPr>
        <w:ind w:left="3600" w:hanging="360"/>
      </w:pPr>
      <w:rPr>
        <w:rFonts w:ascii="Courier New" w:hAnsi="Courier New" w:hint="default"/>
      </w:rPr>
    </w:lvl>
    <w:lvl w:ilvl="5" w:tplc="D5F240D2">
      <w:start w:val="1"/>
      <w:numFmt w:val="bullet"/>
      <w:lvlText w:val=""/>
      <w:lvlJc w:val="left"/>
      <w:pPr>
        <w:ind w:left="4320" w:hanging="360"/>
      </w:pPr>
      <w:rPr>
        <w:rFonts w:ascii="Wingdings" w:hAnsi="Wingdings" w:hint="default"/>
      </w:rPr>
    </w:lvl>
    <w:lvl w:ilvl="6" w:tplc="3C2A93D4">
      <w:start w:val="1"/>
      <w:numFmt w:val="bullet"/>
      <w:lvlText w:val=""/>
      <w:lvlJc w:val="left"/>
      <w:pPr>
        <w:ind w:left="5040" w:hanging="360"/>
      </w:pPr>
      <w:rPr>
        <w:rFonts w:ascii="Symbol" w:hAnsi="Symbol" w:hint="default"/>
      </w:rPr>
    </w:lvl>
    <w:lvl w:ilvl="7" w:tplc="9B34C136">
      <w:start w:val="1"/>
      <w:numFmt w:val="bullet"/>
      <w:lvlText w:val="o"/>
      <w:lvlJc w:val="left"/>
      <w:pPr>
        <w:ind w:left="5760" w:hanging="360"/>
      </w:pPr>
      <w:rPr>
        <w:rFonts w:ascii="Courier New" w:hAnsi="Courier New" w:hint="default"/>
      </w:rPr>
    </w:lvl>
    <w:lvl w:ilvl="8" w:tplc="B4FCB92C">
      <w:start w:val="1"/>
      <w:numFmt w:val="bullet"/>
      <w:lvlText w:val=""/>
      <w:lvlJc w:val="left"/>
      <w:pPr>
        <w:ind w:left="6480" w:hanging="360"/>
      </w:pPr>
      <w:rPr>
        <w:rFonts w:ascii="Wingdings" w:hAnsi="Wingdings" w:hint="default"/>
      </w:rPr>
    </w:lvl>
  </w:abstractNum>
  <w:abstractNum w:abstractNumId="3" w15:restartNumberingAfterBreak="0">
    <w:nsid w:val="659B0AB2"/>
    <w:multiLevelType w:val="hybridMultilevel"/>
    <w:tmpl w:val="634E1E74"/>
    <w:lvl w:ilvl="0" w:tplc="D1007ACA">
      <w:start w:val="1"/>
      <w:numFmt w:val="decimal"/>
      <w:lvlText w:val="%1."/>
      <w:lvlJc w:val="left"/>
      <w:pPr>
        <w:ind w:left="720" w:hanging="360"/>
      </w:pPr>
    </w:lvl>
    <w:lvl w:ilvl="1" w:tplc="3A90FFE6">
      <w:start w:val="1"/>
      <w:numFmt w:val="lowerLetter"/>
      <w:lvlText w:val="%2."/>
      <w:lvlJc w:val="left"/>
      <w:pPr>
        <w:ind w:left="1440" w:hanging="360"/>
      </w:pPr>
    </w:lvl>
    <w:lvl w:ilvl="2" w:tplc="C144E274">
      <w:start w:val="1"/>
      <w:numFmt w:val="lowerRoman"/>
      <w:lvlText w:val="%3."/>
      <w:lvlJc w:val="right"/>
      <w:pPr>
        <w:ind w:left="2160" w:hanging="180"/>
      </w:pPr>
    </w:lvl>
    <w:lvl w:ilvl="3" w:tplc="3788B394">
      <w:start w:val="1"/>
      <w:numFmt w:val="decimal"/>
      <w:lvlText w:val="%4."/>
      <w:lvlJc w:val="left"/>
      <w:pPr>
        <w:ind w:left="2880" w:hanging="360"/>
      </w:pPr>
    </w:lvl>
    <w:lvl w:ilvl="4" w:tplc="E0D4E6D0">
      <w:start w:val="1"/>
      <w:numFmt w:val="lowerLetter"/>
      <w:lvlText w:val="%5."/>
      <w:lvlJc w:val="left"/>
      <w:pPr>
        <w:ind w:left="3600" w:hanging="360"/>
      </w:pPr>
    </w:lvl>
    <w:lvl w:ilvl="5" w:tplc="52C827A4">
      <w:start w:val="1"/>
      <w:numFmt w:val="lowerRoman"/>
      <w:lvlText w:val="%6."/>
      <w:lvlJc w:val="right"/>
      <w:pPr>
        <w:ind w:left="4320" w:hanging="180"/>
      </w:pPr>
    </w:lvl>
    <w:lvl w:ilvl="6" w:tplc="4984BD16">
      <w:start w:val="1"/>
      <w:numFmt w:val="decimal"/>
      <w:lvlText w:val="%7."/>
      <w:lvlJc w:val="left"/>
      <w:pPr>
        <w:ind w:left="5040" w:hanging="360"/>
      </w:pPr>
    </w:lvl>
    <w:lvl w:ilvl="7" w:tplc="7F6CB06C">
      <w:start w:val="1"/>
      <w:numFmt w:val="lowerLetter"/>
      <w:lvlText w:val="%8."/>
      <w:lvlJc w:val="left"/>
      <w:pPr>
        <w:ind w:left="5760" w:hanging="360"/>
      </w:pPr>
    </w:lvl>
    <w:lvl w:ilvl="8" w:tplc="C400CD2A">
      <w:start w:val="1"/>
      <w:numFmt w:val="lowerRoman"/>
      <w:lvlText w:val="%9."/>
      <w:lvlJc w:val="right"/>
      <w:pPr>
        <w:ind w:left="6480" w:hanging="180"/>
      </w:pPr>
    </w:lvl>
  </w:abstractNum>
  <w:num w:numId="1" w16cid:durableId="64232372">
    <w:abstractNumId w:val="2"/>
  </w:num>
  <w:num w:numId="2" w16cid:durableId="1465342766">
    <w:abstractNumId w:val="0"/>
  </w:num>
  <w:num w:numId="3" w16cid:durableId="243493263">
    <w:abstractNumId w:val="3"/>
  </w:num>
  <w:num w:numId="4" w16cid:durableId="76219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96E24F"/>
    <w:rsid w:val="007A5B3A"/>
    <w:rsid w:val="00DE7040"/>
    <w:rsid w:val="00FF14EC"/>
    <w:rsid w:val="4996E24F"/>
    <w:rsid w:val="524EB7BF"/>
    <w:rsid w:val="59E08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6E24F"/>
  <w15:chartTrackingRefBased/>
  <w15:docId w15:val="{D5ED5069-D077-46A0-8EDF-7E6845ED2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9E080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513</Words>
  <Characters>2886</Characters>
  <Application>Microsoft Office Word</Application>
  <DocSecurity>0</DocSecurity>
  <Lines>43</Lines>
  <Paragraphs>17</Paragraphs>
  <ScaleCrop>false</ScaleCrop>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Naganathan Muthuramalingam</dc:creator>
  <cp:keywords/>
  <dc:description/>
  <cp:lastModifiedBy>Saad Aljohani</cp:lastModifiedBy>
  <cp:revision>2</cp:revision>
  <dcterms:created xsi:type="dcterms:W3CDTF">2026-03-15T08:39:00Z</dcterms:created>
  <dcterms:modified xsi:type="dcterms:W3CDTF">2026-03-29T07:21:00Z</dcterms:modified>
</cp:coreProperties>
</file>