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8B63F" w14:textId="76294036" w:rsidR="00A50A2D" w:rsidRDefault="6A07A242" w:rsidP="242ACCB1">
      <w:pPr>
        <w:spacing w:before="240" w:after="120"/>
      </w:pPr>
      <w:r w:rsidRPr="242ACCB1">
        <w:rPr>
          <w:rFonts w:ascii="Aptos" w:eastAsia="Aptos" w:hAnsi="Aptos" w:cs="Aptos"/>
          <w:b/>
          <w:bCs/>
          <w:color w:val="303030"/>
          <w:sz w:val="21"/>
          <w:szCs w:val="21"/>
        </w:rPr>
        <w:t>Near Point of Convergence (NPC) &amp; Jump Convergence</w:t>
      </w:r>
    </w:p>
    <w:p w14:paraId="18E2CC50" w14:textId="73B5A7E9" w:rsidR="00A50A2D" w:rsidRDefault="6A07A242" w:rsidP="242ACCB1">
      <w:pPr>
        <w:spacing w:after="120"/>
      </w:pPr>
      <w:r w:rsidRPr="242ACCB1">
        <w:rPr>
          <w:rFonts w:ascii="Aptos" w:eastAsia="Aptos" w:hAnsi="Aptos" w:cs="Aptos"/>
          <w:b/>
          <w:bCs/>
          <w:color w:val="303030"/>
          <w:sz w:val="21"/>
          <w:szCs w:val="21"/>
        </w:rPr>
        <w:t>Equipment Needed:</w:t>
      </w:r>
      <w:r w:rsidRPr="242ACCB1">
        <w:rPr>
          <w:rFonts w:ascii="Aptos" w:eastAsia="Aptos" w:hAnsi="Aptos" w:cs="Aptos"/>
          <w:color w:val="303030"/>
          <w:sz w:val="21"/>
          <w:szCs w:val="21"/>
        </w:rPr>
        <w:t xml:space="preserve"> A detailed accommodative near target (such as the tip of a pencil, a 6/9 equivalent letter, or a small picture for children). A measurement tool, such as an RAF rule or a retractable tape measure. Optional: A pen torch and a red filter.</w:t>
      </w:r>
    </w:p>
    <w:p w14:paraId="10068B05" w14:textId="275482A6" w:rsidR="00A50A2D" w:rsidRDefault="6A07A242" w:rsidP="242ACCB1">
      <w:pPr>
        <w:spacing w:after="120"/>
      </w:pPr>
      <w:r w:rsidRPr="242ACCB1">
        <w:rPr>
          <w:rFonts w:ascii="Aptos" w:eastAsia="Aptos" w:hAnsi="Aptos" w:cs="Aptos"/>
          <w:b/>
          <w:bCs/>
          <w:color w:val="303030"/>
          <w:sz w:val="21"/>
          <w:szCs w:val="21"/>
        </w:rPr>
        <w:t>I. Purpose and Principles</w:t>
      </w:r>
    </w:p>
    <w:p w14:paraId="08B93A88" w14:textId="098CDBEC" w:rsidR="00A50A2D" w:rsidRDefault="6A07A242" w:rsidP="242ACCB1">
      <w:pPr>
        <w:pStyle w:val="ListParagraph"/>
        <w:numPr>
          <w:ilvl w:val="0"/>
          <w:numId w:val="5"/>
        </w:numPr>
        <w:spacing w:after="120"/>
        <w:rPr>
          <w:rFonts w:ascii="Aptos" w:eastAsia="Aptos" w:hAnsi="Aptos" w:cs="Aptos"/>
          <w:color w:val="303030"/>
          <w:sz w:val="21"/>
          <w:szCs w:val="21"/>
        </w:rPr>
      </w:pPr>
      <w:r w:rsidRPr="242ACCB1">
        <w:rPr>
          <w:rFonts w:ascii="Aptos" w:eastAsia="Aptos" w:hAnsi="Aptos" w:cs="Aptos"/>
          <w:b/>
          <w:bCs/>
          <w:color w:val="303030"/>
          <w:sz w:val="21"/>
          <w:szCs w:val="21"/>
        </w:rPr>
        <w:t>Clinical Value:</w:t>
      </w:r>
      <w:r w:rsidRPr="242ACCB1">
        <w:rPr>
          <w:rFonts w:ascii="Aptos" w:eastAsia="Aptos" w:hAnsi="Aptos" w:cs="Aptos"/>
          <w:color w:val="303030"/>
          <w:sz w:val="21"/>
          <w:szCs w:val="21"/>
        </w:rPr>
        <w:t xml:space="preserve"> The NPC test assesses the absolute limit of the patient's ability to converge their eyes while maintaining binocular single vision. It is the primary test for diagnosing </w:t>
      </w:r>
      <w:r w:rsidRPr="242ACCB1">
        <w:rPr>
          <w:rFonts w:ascii="Aptos" w:eastAsia="Aptos" w:hAnsi="Aptos" w:cs="Aptos"/>
          <w:b/>
          <w:bCs/>
          <w:color w:val="303030"/>
          <w:sz w:val="21"/>
          <w:szCs w:val="21"/>
        </w:rPr>
        <w:t>convergence insufficiency</w:t>
      </w:r>
      <w:r w:rsidRPr="242ACCB1">
        <w:rPr>
          <w:rFonts w:ascii="Aptos" w:eastAsia="Aptos" w:hAnsi="Aptos" w:cs="Aptos"/>
          <w:color w:val="303030"/>
          <w:sz w:val="21"/>
          <w:szCs w:val="21"/>
        </w:rPr>
        <w:t>, which is a highly common cause of visually provoked asthenopia (reading strain) and headaches.</w:t>
      </w:r>
    </w:p>
    <w:p w14:paraId="4D379070" w14:textId="19943448" w:rsidR="00A50A2D" w:rsidRDefault="6A07A242" w:rsidP="242ACCB1">
      <w:pPr>
        <w:pStyle w:val="ListParagraph"/>
        <w:numPr>
          <w:ilvl w:val="0"/>
          <w:numId w:val="5"/>
        </w:numPr>
        <w:spacing w:after="120"/>
        <w:rPr>
          <w:rFonts w:ascii="Aptos" w:eastAsia="Aptos" w:hAnsi="Aptos" w:cs="Aptos"/>
          <w:color w:val="303030"/>
          <w:sz w:val="21"/>
          <w:szCs w:val="21"/>
        </w:rPr>
      </w:pPr>
      <w:r w:rsidRPr="242ACCB1">
        <w:rPr>
          <w:rFonts w:ascii="Aptos" w:eastAsia="Aptos" w:hAnsi="Aptos" w:cs="Aptos"/>
          <w:b/>
          <w:bCs/>
          <w:color w:val="303030"/>
          <w:sz w:val="21"/>
          <w:szCs w:val="21"/>
        </w:rPr>
        <w:t>Normal Values:</w:t>
      </w:r>
      <w:r w:rsidRPr="242ACCB1">
        <w:rPr>
          <w:rFonts w:ascii="Aptos" w:eastAsia="Aptos" w:hAnsi="Aptos" w:cs="Aptos"/>
          <w:color w:val="303030"/>
          <w:sz w:val="21"/>
          <w:szCs w:val="21"/>
        </w:rPr>
        <w:t xml:space="preserve"> A normal NPC is approximately 6 to 8 cm. A measurement over 10 cm is generally considered low or insufficient.</w:t>
      </w:r>
    </w:p>
    <w:p w14:paraId="01FE98AE" w14:textId="1E3F2BBF" w:rsidR="00A50A2D" w:rsidRDefault="6A07A242" w:rsidP="242ACCB1">
      <w:pPr>
        <w:spacing w:after="120"/>
      </w:pPr>
      <w:r w:rsidRPr="242ACCB1">
        <w:rPr>
          <w:rFonts w:ascii="Aptos" w:eastAsia="Aptos" w:hAnsi="Aptos" w:cs="Aptos"/>
          <w:b/>
          <w:bCs/>
          <w:color w:val="303030"/>
          <w:sz w:val="21"/>
          <w:szCs w:val="21"/>
        </w:rPr>
        <w:t>II. Target Selection &amp; Preparation</w:t>
      </w:r>
    </w:p>
    <w:p w14:paraId="10689795" w14:textId="3F740EF3" w:rsidR="00A50A2D" w:rsidRDefault="6A07A242" w:rsidP="242ACCB1">
      <w:pPr>
        <w:pStyle w:val="ListParagraph"/>
        <w:numPr>
          <w:ilvl w:val="0"/>
          <w:numId w:val="4"/>
        </w:numPr>
        <w:spacing w:after="120"/>
        <w:rPr>
          <w:rFonts w:ascii="Aptos" w:eastAsia="Aptos" w:hAnsi="Aptos" w:cs="Aptos"/>
          <w:color w:val="303030"/>
          <w:sz w:val="21"/>
          <w:szCs w:val="21"/>
        </w:rPr>
      </w:pPr>
      <w:r w:rsidRPr="242ACCB1">
        <w:rPr>
          <w:rFonts w:ascii="Aptos" w:eastAsia="Aptos" w:hAnsi="Aptos" w:cs="Aptos"/>
          <w:b/>
          <w:bCs/>
          <w:color w:val="303030"/>
          <w:sz w:val="21"/>
          <w:szCs w:val="21"/>
        </w:rPr>
        <w:t>Accommodative Target:</w:t>
      </w:r>
      <w:r w:rsidRPr="242ACCB1">
        <w:rPr>
          <w:rFonts w:ascii="Aptos" w:eastAsia="Aptos" w:hAnsi="Aptos" w:cs="Aptos"/>
          <w:color w:val="303030"/>
          <w:sz w:val="21"/>
          <w:szCs w:val="21"/>
        </w:rPr>
        <w:t xml:space="preserve"> It is generally recommended to use an accommodative target (like a small letter) rather than a simple penlight, as this requires the patient to maintain precise focus, thereby fully engaging the accommodative convergence mechanism.</w:t>
      </w:r>
    </w:p>
    <w:p w14:paraId="20F01D9D" w14:textId="5C402446" w:rsidR="00A50A2D" w:rsidRDefault="6A07A242" w:rsidP="242ACCB1">
      <w:pPr>
        <w:pStyle w:val="ListParagraph"/>
        <w:numPr>
          <w:ilvl w:val="0"/>
          <w:numId w:val="4"/>
        </w:numPr>
        <w:spacing w:after="120"/>
        <w:rPr>
          <w:rFonts w:ascii="Aptos" w:eastAsia="Aptos" w:hAnsi="Aptos" w:cs="Aptos"/>
          <w:color w:val="303030"/>
          <w:sz w:val="21"/>
          <w:szCs w:val="21"/>
        </w:rPr>
      </w:pPr>
      <w:r w:rsidRPr="242ACCB1">
        <w:rPr>
          <w:rFonts w:ascii="Aptos" w:eastAsia="Aptos" w:hAnsi="Aptos" w:cs="Aptos"/>
          <w:b/>
          <w:bCs/>
          <w:color w:val="303030"/>
          <w:sz w:val="21"/>
          <w:szCs w:val="21"/>
        </w:rPr>
        <w:t>The Proximal Effect:</w:t>
      </w:r>
      <w:r w:rsidRPr="242ACCB1">
        <w:rPr>
          <w:rFonts w:ascii="Aptos" w:eastAsia="Aptos" w:hAnsi="Aptos" w:cs="Aptos"/>
          <w:color w:val="303030"/>
          <w:sz w:val="21"/>
          <w:szCs w:val="21"/>
        </w:rPr>
        <w:t xml:space="preserve"> While the RAF rule is a standard instrument, resting it firmly against the patient's cheeks can artificially increase the patient's awareness of the target's nearness (proximal convergence). Using a simple near card and a free-space tape measure can eliminate this artefact.</w:t>
      </w:r>
    </w:p>
    <w:p w14:paraId="3EAE3929" w14:textId="68793925" w:rsidR="00A50A2D" w:rsidRDefault="6A07A242" w:rsidP="242ACCB1">
      <w:pPr>
        <w:spacing w:after="120"/>
      </w:pPr>
      <w:r w:rsidRPr="242ACCB1">
        <w:rPr>
          <w:rFonts w:ascii="Aptos" w:eastAsia="Aptos" w:hAnsi="Aptos" w:cs="Aptos"/>
          <w:b/>
          <w:bCs/>
          <w:color w:val="303030"/>
          <w:sz w:val="21"/>
          <w:szCs w:val="21"/>
        </w:rPr>
        <w:t>III. Procedure (The "Push-Up" Method)</w:t>
      </w:r>
    </w:p>
    <w:p w14:paraId="382F5A25" w14:textId="72DCE0E1" w:rsidR="00A50A2D" w:rsidRDefault="6A07A242" w:rsidP="242ACCB1">
      <w:pPr>
        <w:pStyle w:val="ListParagraph"/>
        <w:numPr>
          <w:ilvl w:val="0"/>
          <w:numId w:val="3"/>
        </w:numPr>
        <w:spacing w:after="120"/>
        <w:rPr>
          <w:rFonts w:ascii="Aptos" w:eastAsia="Aptos" w:hAnsi="Aptos" w:cs="Aptos"/>
          <w:color w:val="303030"/>
          <w:sz w:val="21"/>
          <w:szCs w:val="21"/>
        </w:rPr>
      </w:pPr>
      <w:r w:rsidRPr="242ACCB1">
        <w:rPr>
          <w:rFonts w:ascii="Aptos" w:eastAsia="Aptos" w:hAnsi="Aptos" w:cs="Aptos"/>
          <w:color w:val="303030"/>
          <w:sz w:val="21"/>
          <w:szCs w:val="21"/>
        </w:rPr>
        <w:t>Hold the target at approximately 50 cm away from the patient in the midline.</w:t>
      </w:r>
    </w:p>
    <w:p w14:paraId="19B2E2B9" w14:textId="38C56AD6" w:rsidR="00A50A2D" w:rsidRDefault="6A07A242" w:rsidP="242ACCB1">
      <w:pPr>
        <w:pStyle w:val="ListParagraph"/>
        <w:numPr>
          <w:ilvl w:val="0"/>
          <w:numId w:val="3"/>
        </w:numPr>
        <w:spacing w:after="120"/>
        <w:rPr>
          <w:rFonts w:ascii="Aptos" w:eastAsia="Aptos" w:hAnsi="Aptos" w:cs="Aptos"/>
          <w:color w:val="303030"/>
          <w:sz w:val="21"/>
          <w:szCs w:val="21"/>
        </w:rPr>
      </w:pPr>
      <w:r w:rsidRPr="242ACCB1">
        <w:rPr>
          <w:rFonts w:ascii="Aptos" w:eastAsia="Aptos" w:hAnsi="Aptos" w:cs="Aptos"/>
          <w:color w:val="303030"/>
          <w:sz w:val="21"/>
          <w:szCs w:val="21"/>
        </w:rPr>
        <w:t>Instruct the patient to fixate intently on the detailed target and to report as soon as it appears double or if they feel significant visual discomfort.</w:t>
      </w:r>
    </w:p>
    <w:p w14:paraId="6B9DD7DB" w14:textId="12BF0285" w:rsidR="00A50A2D" w:rsidRDefault="6A07A242" w:rsidP="242ACCB1">
      <w:pPr>
        <w:pStyle w:val="ListParagraph"/>
        <w:numPr>
          <w:ilvl w:val="0"/>
          <w:numId w:val="3"/>
        </w:numPr>
        <w:spacing w:after="120"/>
        <w:rPr>
          <w:rFonts w:ascii="Aptos" w:eastAsia="Aptos" w:hAnsi="Aptos" w:cs="Aptos"/>
          <w:color w:val="303030"/>
          <w:sz w:val="21"/>
          <w:szCs w:val="21"/>
        </w:rPr>
      </w:pPr>
      <w:r w:rsidRPr="242ACCB1">
        <w:rPr>
          <w:rFonts w:ascii="Aptos" w:eastAsia="Aptos" w:hAnsi="Aptos" w:cs="Aptos"/>
          <w:color w:val="303030"/>
          <w:sz w:val="21"/>
          <w:szCs w:val="21"/>
        </w:rPr>
        <w:t>Slowly move the target towards the patient's nose.</w:t>
      </w:r>
    </w:p>
    <w:p w14:paraId="1C915D5E" w14:textId="7E130801" w:rsidR="00A50A2D" w:rsidRDefault="6A07A242" w:rsidP="242ACCB1">
      <w:pPr>
        <w:pStyle w:val="ListParagraph"/>
        <w:numPr>
          <w:ilvl w:val="0"/>
          <w:numId w:val="3"/>
        </w:numPr>
        <w:spacing w:after="120"/>
        <w:rPr>
          <w:rFonts w:ascii="Aptos" w:eastAsia="Aptos" w:hAnsi="Aptos" w:cs="Aptos"/>
          <w:color w:val="303030"/>
          <w:sz w:val="21"/>
          <w:szCs w:val="21"/>
        </w:rPr>
      </w:pPr>
      <w:r w:rsidRPr="242ACCB1">
        <w:rPr>
          <w:rFonts w:ascii="Aptos" w:eastAsia="Aptos" w:hAnsi="Aptos" w:cs="Aptos"/>
          <w:color w:val="303030"/>
          <w:sz w:val="21"/>
          <w:szCs w:val="21"/>
        </w:rPr>
        <w:t>Observe the patient's eyes carefully. They should turn inward symmetrically, and the pupils should constrict.</w:t>
      </w:r>
    </w:p>
    <w:p w14:paraId="30174DA8" w14:textId="3887A603" w:rsidR="00A50A2D" w:rsidRDefault="6A07A242" w:rsidP="242ACCB1">
      <w:pPr>
        <w:pStyle w:val="ListParagraph"/>
        <w:numPr>
          <w:ilvl w:val="0"/>
          <w:numId w:val="3"/>
        </w:numPr>
        <w:spacing w:after="120"/>
        <w:rPr>
          <w:rFonts w:ascii="Aptos" w:eastAsia="Aptos" w:hAnsi="Aptos" w:cs="Aptos"/>
          <w:color w:val="303030"/>
          <w:sz w:val="21"/>
          <w:szCs w:val="21"/>
        </w:rPr>
      </w:pPr>
      <w:r w:rsidRPr="242ACCB1">
        <w:rPr>
          <w:rFonts w:ascii="Aptos" w:eastAsia="Aptos" w:hAnsi="Aptos" w:cs="Aptos"/>
          <w:b/>
          <w:bCs/>
          <w:color w:val="303030"/>
          <w:sz w:val="21"/>
          <w:szCs w:val="21"/>
        </w:rPr>
        <w:t>Stop</w:t>
      </w:r>
      <w:r w:rsidRPr="242ACCB1">
        <w:rPr>
          <w:rFonts w:ascii="Aptos" w:eastAsia="Aptos" w:hAnsi="Aptos" w:cs="Aptos"/>
          <w:color w:val="303030"/>
          <w:sz w:val="21"/>
          <w:szCs w:val="21"/>
        </w:rPr>
        <w:t xml:space="preserve"> when either the patient reports diplopia or you observe an eye lose fixation. Measure this distance in centimetres.</w:t>
      </w:r>
    </w:p>
    <w:p w14:paraId="076B8219" w14:textId="7E7A967F" w:rsidR="00A50A2D" w:rsidRDefault="6A07A242" w:rsidP="242ACCB1">
      <w:pPr>
        <w:spacing w:after="120"/>
      </w:pPr>
      <w:r w:rsidRPr="242ACCB1">
        <w:rPr>
          <w:rFonts w:ascii="Aptos" w:eastAsia="Aptos" w:hAnsi="Aptos" w:cs="Aptos"/>
          <w:b/>
          <w:bCs/>
          <w:color w:val="303030"/>
          <w:sz w:val="21"/>
          <w:szCs w:val="21"/>
        </w:rPr>
        <w:t>IV. Clinical Observation &amp; Interpretation</w:t>
      </w:r>
    </w:p>
    <w:p w14:paraId="5170DF5A" w14:textId="10794220" w:rsidR="00A50A2D" w:rsidRDefault="6A07A242" w:rsidP="242ACCB1">
      <w:pPr>
        <w:pStyle w:val="ListParagraph"/>
        <w:numPr>
          <w:ilvl w:val="0"/>
          <w:numId w:val="2"/>
        </w:numPr>
        <w:spacing w:after="120"/>
        <w:rPr>
          <w:rFonts w:ascii="Aptos" w:eastAsia="Aptos" w:hAnsi="Aptos" w:cs="Aptos"/>
          <w:color w:val="303030"/>
          <w:sz w:val="21"/>
          <w:szCs w:val="21"/>
        </w:rPr>
      </w:pPr>
      <w:r w:rsidRPr="242ACCB1">
        <w:rPr>
          <w:rFonts w:ascii="Aptos" w:eastAsia="Aptos" w:hAnsi="Aptos" w:cs="Aptos"/>
          <w:b/>
          <w:bCs/>
          <w:color w:val="303030"/>
          <w:sz w:val="21"/>
          <w:szCs w:val="21"/>
        </w:rPr>
        <w:t>The Subjective Break:</w:t>
      </w:r>
      <w:r w:rsidRPr="242ACCB1">
        <w:rPr>
          <w:rFonts w:ascii="Aptos" w:eastAsia="Aptos" w:hAnsi="Aptos" w:cs="Aptos"/>
          <w:color w:val="303030"/>
          <w:sz w:val="21"/>
          <w:szCs w:val="21"/>
        </w:rPr>
        <w:t xml:space="preserve"> The point at which the patient reports seeing double (diplopia).</w:t>
      </w:r>
    </w:p>
    <w:p w14:paraId="7BC34444" w14:textId="43CD448D" w:rsidR="00A50A2D" w:rsidRDefault="6A07A242" w:rsidP="242ACCB1">
      <w:pPr>
        <w:pStyle w:val="ListParagraph"/>
        <w:numPr>
          <w:ilvl w:val="0"/>
          <w:numId w:val="2"/>
        </w:numPr>
        <w:spacing w:after="120"/>
        <w:rPr>
          <w:rFonts w:ascii="Aptos" w:eastAsia="Aptos" w:hAnsi="Aptos" w:cs="Aptos"/>
          <w:color w:val="303030"/>
          <w:sz w:val="21"/>
          <w:szCs w:val="21"/>
        </w:rPr>
      </w:pPr>
      <w:r w:rsidRPr="242ACCB1">
        <w:rPr>
          <w:rFonts w:ascii="Aptos" w:eastAsia="Aptos" w:hAnsi="Aptos" w:cs="Aptos"/>
          <w:b/>
          <w:bCs/>
          <w:color w:val="303030"/>
          <w:sz w:val="21"/>
          <w:szCs w:val="21"/>
        </w:rPr>
        <w:t>The Objective Break:</w:t>
      </w:r>
      <w:r w:rsidRPr="242ACCB1">
        <w:rPr>
          <w:rFonts w:ascii="Aptos" w:eastAsia="Aptos" w:hAnsi="Aptos" w:cs="Aptos"/>
          <w:color w:val="303030"/>
          <w:sz w:val="21"/>
          <w:szCs w:val="21"/>
        </w:rPr>
        <w:t xml:space="preserve"> The point at which the examiner observes one eye lose fixation and drift outward. The eye that diverges is typically the non-dominant eye.</w:t>
      </w:r>
    </w:p>
    <w:p w14:paraId="4737A047" w14:textId="1DFF3634" w:rsidR="00A50A2D" w:rsidRDefault="6A07A242" w:rsidP="242ACCB1">
      <w:pPr>
        <w:pStyle w:val="ListParagraph"/>
        <w:numPr>
          <w:ilvl w:val="0"/>
          <w:numId w:val="2"/>
        </w:numPr>
        <w:spacing w:after="120"/>
        <w:rPr>
          <w:rFonts w:ascii="Aptos" w:eastAsia="Aptos" w:hAnsi="Aptos" w:cs="Aptos"/>
          <w:color w:val="303030"/>
          <w:sz w:val="21"/>
          <w:szCs w:val="21"/>
        </w:rPr>
      </w:pPr>
      <w:r w:rsidRPr="242ACCB1">
        <w:rPr>
          <w:rFonts w:ascii="Aptos" w:eastAsia="Aptos" w:hAnsi="Aptos" w:cs="Aptos"/>
          <w:b/>
          <w:bCs/>
          <w:color w:val="303030"/>
          <w:sz w:val="21"/>
          <w:szCs w:val="21"/>
        </w:rPr>
        <w:t>Diagnosing Suppression:</w:t>
      </w:r>
      <w:r w:rsidRPr="242ACCB1">
        <w:rPr>
          <w:rFonts w:ascii="Aptos" w:eastAsia="Aptos" w:hAnsi="Aptos" w:cs="Aptos"/>
          <w:color w:val="303030"/>
          <w:sz w:val="21"/>
          <w:szCs w:val="21"/>
        </w:rPr>
        <w:t xml:space="preserve"> If the examiner sees the objective break (an eye turns out) but the patient does not report diplopia, or if the patient reports that the target suddenly "jumps" to one side, this indicates </w:t>
      </w:r>
      <w:r w:rsidRPr="242ACCB1">
        <w:rPr>
          <w:rFonts w:ascii="Aptos" w:eastAsia="Aptos" w:hAnsi="Aptos" w:cs="Aptos"/>
          <w:b/>
          <w:bCs/>
          <w:color w:val="303030"/>
          <w:sz w:val="21"/>
          <w:szCs w:val="21"/>
        </w:rPr>
        <w:t>central suppression</w:t>
      </w:r>
      <w:r w:rsidRPr="242ACCB1">
        <w:rPr>
          <w:rFonts w:ascii="Aptos" w:eastAsia="Aptos" w:hAnsi="Aptos" w:cs="Aptos"/>
          <w:color w:val="303030"/>
          <w:sz w:val="21"/>
          <w:szCs w:val="21"/>
        </w:rPr>
        <w:t xml:space="preserve"> at the break point. Any difference between the objective and subjective break points indicates decompensation and suppression.</w:t>
      </w:r>
    </w:p>
    <w:p w14:paraId="0940F44E" w14:textId="1D5C8C83" w:rsidR="00A50A2D" w:rsidRDefault="6A07A242" w:rsidP="242ACCB1">
      <w:pPr>
        <w:pStyle w:val="ListParagraph"/>
        <w:numPr>
          <w:ilvl w:val="0"/>
          <w:numId w:val="2"/>
        </w:numPr>
        <w:spacing w:after="120"/>
        <w:rPr>
          <w:rFonts w:ascii="Aptos" w:eastAsia="Aptos" w:hAnsi="Aptos" w:cs="Aptos"/>
          <w:color w:val="303030"/>
          <w:sz w:val="21"/>
          <w:szCs w:val="21"/>
        </w:rPr>
      </w:pPr>
      <w:r w:rsidRPr="242ACCB1">
        <w:rPr>
          <w:rFonts w:ascii="Aptos" w:eastAsia="Aptos" w:hAnsi="Aptos" w:cs="Aptos"/>
          <w:b/>
          <w:bCs/>
          <w:color w:val="303030"/>
          <w:sz w:val="21"/>
          <w:szCs w:val="21"/>
        </w:rPr>
        <w:lastRenderedPageBreak/>
        <w:t>Discomfort vs. Diplopia:</w:t>
      </w:r>
      <w:r w:rsidRPr="242ACCB1">
        <w:rPr>
          <w:rFonts w:ascii="Aptos" w:eastAsia="Aptos" w:hAnsi="Aptos" w:cs="Aptos"/>
          <w:color w:val="303030"/>
          <w:sz w:val="21"/>
          <w:szCs w:val="21"/>
        </w:rPr>
        <w:t xml:space="preserve"> Ask the patient when visual discomfort is first noticed, as this distance may be more functionally relevant to their daily symptoms than the absolute break point.</w:t>
      </w:r>
    </w:p>
    <w:p w14:paraId="3D6E7CB1" w14:textId="7498E928" w:rsidR="00A50A2D" w:rsidRDefault="6A07A242" w:rsidP="242ACCB1">
      <w:pPr>
        <w:spacing w:after="120"/>
      </w:pPr>
      <w:r w:rsidRPr="242ACCB1">
        <w:rPr>
          <w:rFonts w:ascii="Aptos" w:eastAsia="Aptos" w:hAnsi="Aptos" w:cs="Aptos"/>
          <w:b/>
          <w:bCs/>
          <w:color w:val="303030"/>
          <w:sz w:val="21"/>
          <w:szCs w:val="21"/>
        </w:rPr>
        <w:t>V. Advanced Clinical Pearls</w:t>
      </w:r>
    </w:p>
    <w:p w14:paraId="16D72625" w14:textId="11FD1508" w:rsidR="00A50A2D" w:rsidRDefault="6A07A242" w:rsidP="242ACCB1">
      <w:pPr>
        <w:pStyle w:val="ListParagraph"/>
        <w:numPr>
          <w:ilvl w:val="0"/>
          <w:numId w:val="1"/>
        </w:numPr>
        <w:spacing w:after="120"/>
        <w:rPr>
          <w:rFonts w:ascii="Aptos" w:eastAsia="Aptos" w:hAnsi="Aptos" w:cs="Aptos"/>
          <w:color w:val="303030"/>
          <w:sz w:val="21"/>
          <w:szCs w:val="21"/>
        </w:rPr>
      </w:pPr>
      <w:r w:rsidRPr="242ACCB1">
        <w:rPr>
          <w:rFonts w:ascii="Aptos" w:eastAsia="Aptos" w:hAnsi="Aptos" w:cs="Aptos"/>
          <w:b/>
          <w:bCs/>
          <w:color w:val="303030"/>
          <w:sz w:val="21"/>
          <w:szCs w:val="21"/>
        </w:rPr>
        <w:t>The Fatigue Factor (Rule of Three):</w:t>
      </w:r>
      <w:r w:rsidRPr="242ACCB1">
        <w:rPr>
          <w:rFonts w:ascii="Aptos" w:eastAsia="Aptos" w:hAnsi="Aptos" w:cs="Aptos"/>
          <w:color w:val="303030"/>
          <w:sz w:val="21"/>
          <w:szCs w:val="21"/>
        </w:rPr>
        <w:t xml:space="preserve"> The NPC should be measured at least three times. In a normal patient, learning effects may slightly improve the score. If the NPC repeatedly worsens on successive attempts, this indicates </w:t>
      </w:r>
      <w:r w:rsidRPr="242ACCB1">
        <w:rPr>
          <w:rFonts w:ascii="Aptos" w:eastAsia="Aptos" w:hAnsi="Aptos" w:cs="Aptos"/>
          <w:b/>
          <w:bCs/>
          <w:color w:val="303030"/>
          <w:sz w:val="21"/>
          <w:szCs w:val="21"/>
        </w:rPr>
        <w:t>ill-sustained convergence</w:t>
      </w:r>
      <w:r w:rsidRPr="242ACCB1">
        <w:rPr>
          <w:rFonts w:ascii="Aptos" w:eastAsia="Aptos" w:hAnsi="Aptos" w:cs="Aptos"/>
          <w:color w:val="303030"/>
          <w:sz w:val="21"/>
          <w:szCs w:val="21"/>
        </w:rPr>
        <w:t xml:space="preserve"> or fatigue, pointing towards poor fusional reserves.</w:t>
      </w:r>
    </w:p>
    <w:p w14:paraId="07D2727E" w14:textId="3C305523" w:rsidR="00A50A2D" w:rsidRDefault="6A07A242" w:rsidP="242ACCB1">
      <w:pPr>
        <w:pStyle w:val="ListParagraph"/>
        <w:numPr>
          <w:ilvl w:val="0"/>
          <w:numId w:val="1"/>
        </w:numPr>
        <w:spacing w:after="120"/>
        <w:rPr>
          <w:rFonts w:ascii="Aptos" w:eastAsia="Aptos" w:hAnsi="Aptos" w:cs="Aptos"/>
          <w:color w:val="303030"/>
          <w:sz w:val="21"/>
          <w:szCs w:val="21"/>
        </w:rPr>
      </w:pPr>
      <w:r w:rsidRPr="242ACCB1">
        <w:rPr>
          <w:rFonts w:ascii="Aptos" w:eastAsia="Aptos" w:hAnsi="Aptos" w:cs="Aptos"/>
          <w:b/>
          <w:bCs/>
          <w:color w:val="303030"/>
          <w:sz w:val="21"/>
          <w:szCs w:val="21"/>
        </w:rPr>
        <w:t>Capobianco’s Variation:</w:t>
      </w:r>
      <w:r w:rsidRPr="242ACCB1">
        <w:rPr>
          <w:rFonts w:ascii="Aptos" w:eastAsia="Aptos" w:hAnsi="Aptos" w:cs="Aptos"/>
          <w:color w:val="303030"/>
          <w:sz w:val="21"/>
          <w:szCs w:val="21"/>
        </w:rPr>
        <w:t xml:space="preserve"> To enhance the detection of foveal suppression and make the objective break easier to see, use a pen torch as the target and place a red filter over the patient's dominant eye. At the break point, the patient should see one red and one white light. If they only see one, suppression is confirmed.</w:t>
      </w:r>
    </w:p>
    <w:p w14:paraId="05D96A0E" w14:textId="2C5EECE4" w:rsidR="00A50A2D" w:rsidRDefault="6A07A242" w:rsidP="242ACCB1">
      <w:pPr>
        <w:pStyle w:val="ListParagraph"/>
        <w:numPr>
          <w:ilvl w:val="0"/>
          <w:numId w:val="1"/>
        </w:numPr>
        <w:spacing w:after="120"/>
        <w:rPr>
          <w:rFonts w:ascii="Aptos" w:eastAsia="Aptos" w:hAnsi="Aptos" w:cs="Aptos"/>
          <w:color w:val="303030"/>
          <w:sz w:val="21"/>
          <w:szCs w:val="21"/>
        </w:rPr>
      </w:pPr>
      <w:r w:rsidRPr="242ACCB1">
        <w:rPr>
          <w:rFonts w:ascii="Aptos" w:eastAsia="Aptos" w:hAnsi="Aptos" w:cs="Aptos"/>
          <w:b/>
          <w:bCs/>
          <w:color w:val="303030"/>
          <w:sz w:val="21"/>
          <w:szCs w:val="21"/>
        </w:rPr>
        <w:t>Testing "Jump" Convergence:</w:t>
      </w:r>
      <w:r w:rsidRPr="242ACCB1">
        <w:rPr>
          <w:rFonts w:ascii="Aptos" w:eastAsia="Aptos" w:hAnsi="Aptos" w:cs="Aptos"/>
          <w:color w:val="303030"/>
          <w:sz w:val="21"/>
          <w:szCs w:val="21"/>
        </w:rPr>
        <w:t xml:space="preserve"> The push-up method tests convergence amplitude, but "jump" convergence tests the stamina and facility (speed of response) of the vergence system.</w:t>
      </w:r>
    </w:p>
    <w:p w14:paraId="569ADF9B" w14:textId="42B72DFA" w:rsidR="00A50A2D" w:rsidRDefault="6A07A242" w:rsidP="242ACCB1">
      <w:pPr>
        <w:pStyle w:val="ListParagraph"/>
        <w:numPr>
          <w:ilvl w:val="1"/>
          <w:numId w:val="1"/>
        </w:numPr>
        <w:spacing w:after="120"/>
        <w:rPr>
          <w:rFonts w:ascii="Aptos" w:eastAsia="Aptos" w:hAnsi="Aptos" w:cs="Aptos"/>
          <w:color w:val="303030"/>
          <w:sz w:val="21"/>
          <w:szCs w:val="21"/>
        </w:rPr>
      </w:pPr>
      <w:r w:rsidRPr="242ACCB1">
        <w:rPr>
          <w:rFonts w:ascii="Aptos" w:eastAsia="Aptos" w:hAnsi="Aptos" w:cs="Aptos"/>
          <w:i/>
          <w:iCs/>
          <w:color w:val="303030"/>
          <w:sz w:val="21"/>
          <w:szCs w:val="21"/>
        </w:rPr>
        <w:t>Procedure:</w:t>
      </w:r>
      <w:r w:rsidRPr="242ACCB1">
        <w:rPr>
          <w:rFonts w:ascii="Aptos" w:eastAsia="Aptos" w:hAnsi="Aptos" w:cs="Aptos"/>
          <w:color w:val="303030"/>
          <w:sz w:val="21"/>
          <w:szCs w:val="21"/>
        </w:rPr>
        <w:t xml:space="preserve"> Have the patient fixate on a distance target (e.g., a letter at 6 metres). Hold a near target a few centimetres beyond their measured push-up NPC. Ask them to rapidly shift fixation from the distance to the near target.</w:t>
      </w:r>
    </w:p>
    <w:p w14:paraId="5DBC5B21" w14:textId="7579A012" w:rsidR="00A50A2D" w:rsidRDefault="6A07A242" w:rsidP="242ACCB1">
      <w:pPr>
        <w:pStyle w:val="ListParagraph"/>
        <w:numPr>
          <w:ilvl w:val="1"/>
          <w:numId w:val="1"/>
        </w:numPr>
        <w:spacing w:after="120"/>
        <w:rPr>
          <w:rFonts w:ascii="Aptos" w:eastAsia="Aptos" w:hAnsi="Aptos" w:cs="Aptos"/>
          <w:color w:val="303030"/>
          <w:sz w:val="21"/>
          <w:szCs w:val="21"/>
        </w:rPr>
      </w:pPr>
      <w:r w:rsidRPr="242ACCB1">
        <w:rPr>
          <w:rFonts w:ascii="Aptos" w:eastAsia="Aptos" w:hAnsi="Aptos" w:cs="Aptos"/>
          <w:i/>
          <w:iCs/>
          <w:color w:val="303030"/>
          <w:sz w:val="21"/>
          <w:szCs w:val="21"/>
        </w:rPr>
        <w:t>Interpretation:</w:t>
      </w:r>
      <w:r w:rsidRPr="242ACCB1">
        <w:rPr>
          <w:rFonts w:ascii="Aptos" w:eastAsia="Aptos" w:hAnsi="Aptos" w:cs="Aptos"/>
          <w:color w:val="303030"/>
          <w:sz w:val="21"/>
          <w:szCs w:val="21"/>
        </w:rPr>
        <w:t xml:space="preserve"> Normal subjects make a single, smooth vergence movement. Patients with poor convergence will make several jerky adjustments, may experience transient diplopia, or will physically pull their head back to increase the viewing distance.</w:t>
      </w:r>
    </w:p>
    <w:p w14:paraId="09FFCD29" w14:textId="58E887B5" w:rsidR="00A50A2D" w:rsidRDefault="6A07A242" w:rsidP="242ACCB1">
      <w:pPr>
        <w:pStyle w:val="ListParagraph"/>
        <w:numPr>
          <w:ilvl w:val="0"/>
          <w:numId w:val="1"/>
        </w:numPr>
        <w:spacing w:after="120"/>
        <w:rPr>
          <w:rFonts w:ascii="Aptos" w:eastAsia="Aptos" w:hAnsi="Aptos" w:cs="Aptos"/>
          <w:color w:val="303030"/>
          <w:sz w:val="21"/>
          <w:szCs w:val="21"/>
        </w:rPr>
      </w:pPr>
      <w:r w:rsidRPr="242ACCB1">
        <w:rPr>
          <w:rFonts w:ascii="Aptos" w:eastAsia="Aptos" w:hAnsi="Aptos" w:cs="Aptos"/>
          <w:b/>
          <w:bCs/>
          <w:color w:val="303030"/>
          <w:sz w:val="21"/>
          <w:szCs w:val="21"/>
        </w:rPr>
        <w:t>Differentiating Accommodative Issues:</w:t>
      </w:r>
      <w:r w:rsidRPr="242ACCB1">
        <w:rPr>
          <w:rFonts w:ascii="Aptos" w:eastAsia="Aptos" w:hAnsi="Aptos" w:cs="Aptos"/>
          <w:color w:val="303030"/>
          <w:sz w:val="21"/>
          <w:szCs w:val="21"/>
        </w:rPr>
        <w:t xml:space="preserve"> If a patient reports blur or diplopia during the push-up test, briefly cover each eye in turn and ask if the target becomes clear. This helps differentiate a pure convergence problem from an accommodative failure</w:t>
      </w:r>
    </w:p>
    <w:p w14:paraId="7C9C2988" w14:textId="3A7F9AEB" w:rsidR="00A50A2D" w:rsidRDefault="00A50A2D"/>
    <w:p w14:paraId="2C078E63" w14:textId="43358CB6" w:rsidR="00A50A2D" w:rsidRDefault="00A50A2D"/>
    <w:sectPr w:rsidR="00A50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46040"/>
    <w:multiLevelType w:val="hybridMultilevel"/>
    <w:tmpl w:val="6ABE67EE"/>
    <w:lvl w:ilvl="0" w:tplc="824AC266">
      <w:start w:val="1"/>
      <w:numFmt w:val="bullet"/>
      <w:lvlText w:val=""/>
      <w:lvlJc w:val="left"/>
      <w:pPr>
        <w:ind w:left="720" w:hanging="360"/>
      </w:pPr>
      <w:rPr>
        <w:rFonts w:ascii="Symbol" w:hAnsi="Symbol" w:hint="default"/>
      </w:rPr>
    </w:lvl>
    <w:lvl w:ilvl="1" w:tplc="7060817A">
      <w:start w:val="1"/>
      <w:numFmt w:val="bullet"/>
      <w:lvlText w:val="o"/>
      <w:lvlJc w:val="left"/>
      <w:pPr>
        <w:ind w:left="1440" w:hanging="360"/>
      </w:pPr>
      <w:rPr>
        <w:rFonts w:ascii="Courier New" w:hAnsi="Courier New" w:hint="default"/>
      </w:rPr>
    </w:lvl>
    <w:lvl w:ilvl="2" w:tplc="BD7CAE5A">
      <w:start w:val="1"/>
      <w:numFmt w:val="bullet"/>
      <w:lvlText w:val=""/>
      <w:lvlJc w:val="left"/>
      <w:pPr>
        <w:ind w:left="2160" w:hanging="360"/>
      </w:pPr>
      <w:rPr>
        <w:rFonts w:ascii="Wingdings" w:hAnsi="Wingdings" w:hint="default"/>
      </w:rPr>
    </w:lvl>
    <w:lvl w:ilvl="3" w:tplc="3462030A">
      <w:start w:val="1"/>
      <w:numFmt w:val="bullet"/>
      <w:lvlText w:val=""/>
      <w:lvlJc w:val="left"/>
      <w:pPr>
        <w:ind w:left="2880" w:hanging="360"/>
      </w:pPr>
      <w:rPr>
        <w:rFonts w:ascii="Symbol" w:hAnsi="Symbol" w:hint="default"/>
      </w:rPr>
    </w:lvl>
    <w:lvl w:ilvl="4" w:tplc="EEBE733C">
      <w:start w:val="1"/>
      <w:numFmt w:val="bullet"/>
      <w:lvlText w:val="o"/>
      <w:lvlJc w:val="left"/>
      <w:pPr>
        <w:ind w:left="3600" w:hanging="360"/>
      </w:pPr>
      <w:rPr>
        <w:rFonts w:ascii="Courier New" w:hAnsi="Courier New" w:hint="default"/>
      </w:rPr>
    </w:lvl>
    <w:lvl w:ilvl="5" w:tplc="1F321158">
      <w:start w:val="1"/>
      <w:numFmt w:val="bullet"/>
      <w:lvlText w:val=""/>
      <w:lvlJc w:val="left"/>
      <w:pPr>
        <w:ind w:left="4320" w:hanging="360"/>
      </w:pPr>
      <w:rPr>
        <w:rFonts w:ascii="Wingdings" w:hAnsi="Wingdings" w:hint="default"/>
      </w:rPr>
    </w:lvl>
    <w:lvl w:ilvl="6" w:tplc="BD68E148">
      <w:start w:val="1"/>
      <w:numFmt w:val="bullet"/>
      <w:lvlText w:val=""/>
      <w:lvlJc w:val="left"/>
      <w:pPr>
        <w:ind w:left="5040" w:hanging="360"/>
      </w:pPr>
      <w:rPr>
        <w:rFonts w:ascii="Symbol" w:hAnsi="Symbol" w:hint="default"/>
      </w:rPr>
    </w:lvl>
    <w:lvl w:ilvl="7" w:tplc="1D9890BA">
      <w:start w:val="1"/>
      <w:numFmt w:val="bullet"/>
      <w:lvlText w:val="o"/>
      <w:lvlJc w:val="left"/>
      <w:pPr>
        <w:ind w:left="5760" w:hanging="360"/>
      </w:pPr>
      <w:rPr>
        <w:rFonts w:ascii="Courier New" w:hAnsi="Courier New" w:hint="default"/>
      </w:rPr>
    </w:lvl>
    <w:lvl w:ilvl="8" w:tplc="BC6ABBBC">
      <w:start w:val="1"/>
      <w:numFmt w:val="bullet"/>
      <w:lvlText w:val=""/>
      <w:lvlJc w:val="left"/>
      <w:pPr>
        <w:ind w:left="6480" w:hanging="360"/>
      </w:pPr>
      <w:rPr>
        <w:rFonts w:ascii="Wingdings" w:hAnsi="Wingdings" w:hint="default"/>
      </w:rPr>
    </w:lvl>
  </w:abstractNum>
  <w:abstractNum w:abstractNumId="1" w15:restartNumberingAfterBreak="0">
    <w:nsid w:val="28C08FC1"/>
    <w:multiLevelType w:val="hybridMultilevel"/>
    <w:tmpl w:val="9F96BCB8"/>
    <w:lvl w:ilvl="0" w:tplc="817CD68E">
      <w:start w:val="1"/>
      <w:numFmt w:val="bullet"/>
      <w:lvlText w:val=""/>
      <w:lvlJc w:val="left"/>
      <w:pPr>
        <w:ind w:left="720" w:hanging="360"/>
      </w:pPr>
      <w:rPr>
        <w:rFonts w:ascii="Symbol" w:hAnsi="Symbol" w:hint="default"/>
      </w:rPr>
    </w:lvl>
    <w:lvl w:ilvl="1" w:tplc="BD68B0EA">
      <w:start w:val="1"/>
      <w:numFmt w:val="bullet"/>
      <w:lvlText w:val="o"/>
      <w:lvlJc w:val="left"/>
      <w:pPr>
        <w:ind w:left="1440" w:hanging="360"/>
      </w:pPr>
      <w:rPr>
        <w:rFonts w:ascii="Courier New" w:hAnsi="Courier New" w:hint="default"/>
      </w:rPr>
    </w:lvl>
    <w:lvl w:ilvl="2" w:tplc="80D846E8">
      <w:start w:val="1"/>
      <w:numFmt w:val="bullet"/>
      <w:lvlText w:val=""/>
      <w:lvlJc w:val="left"/>
      <w:pPr>
        <w:ind w:left="2160" w:hanging="360"/>
      </w:pPr>
      <w:rPr>
        <w:rFonts w:ascii="Wingdings" w:hAnsi="Wingdings" w:hint="default"/>
      </w:rPr>
    </w:lvl>
    <w:lvl w:ilvl="3" w:tplc="87F68350">
      <w:start w:val="1"/>
      <w:numFmt w:val="bullet"/>
      <w:lvlText w:val=""/>
      <w:lvlJc w:val="left"/>
      <w:pPr>
        <w:ind w:left="2880" w:hanging="360"/>
      </w:pPr>
      <w:rPr>
        <w:rFonts w:ascii="Symbol" w:hAnsi="Symbol" w:hint="default"/>
      </w:rPr>
    </w:lvl>
    <w:lvl w:ilvl="4" w:tplc="3CF27698">
      <w:start w:val="1"/>
      <w:numFmt w:val="bullet"/>
      <w:lvlText w:val="o"/>
      <w:lvlJc w:val="left"/>
      <w:pPr>
        <w:ind w:left="3600" w:hanging="360"/>
      </w:pPr>
      <w:rPr>
        <w:rFonts w:ascii="Courier New" w:hAnsi="Courier New" w:hint="default"/>
      </w:rPr>
    </w:lvl>
    <w:lvl w:ilvl="5" w:tplc="07303698">
      <w:start w:val="1"/>
      <w:numFmt w:val="bullet"/>
      <w:lvlText w:val=""/>
      <w:lvlJc w:val="left"/>
      <w:pPr>
        <w:ind w:left="4320" w:hanging="360"/>
      </w:pPr>
      <w:rPr>
        <w:rFonts w:ascii="Wingdings" w:hAnsi="Wingdings" w:hint="default"/>
      </w:rPr>
    </w:lvl>
    <w:lvl w:ilvl="6" w:tplc="D4543EB8">
      <w:start w:val="1"/>
      <w:numFmt w:val="bullet"/>
      <w:lvlText w:val=""/>
      <w:lvlJc w:val="left"/>
      <w:pPr>
        <w:ind w:left="5040" w:hanging="360"/>
      </w:pPr>
      <w:rPr>
        <w:rFonts w:ascii="Symbol" w:hAnsi="Symbol" w:hint="default"/>
      </w:rPr>
    </w:lvl>
    <w:lvl w:ilvl="7" w:tplc="6F688CA0">
      <w:start w:val="1"/>
      <w:numFmt w:val="bullet"/>
      <w:lvlText w:val="o"/>
      <w:lvlJc w:val="left"/>
      <w:pPr>
        <w:ind w:left="5760" w:hanging="360"/>
      </w:pPr>
      <w:rPr>
        <w:rFonts w:ascii="Courier New" w:hAnsi="Courier New" w:hint="default"/>
      </w:rPr>
    </w:lvl>
    <w:lvl w:ilvl="8" w:tplc="6CC67514">
      <w:start w:val="1"/>
      <w:numFmt w:val="bullet"/>
      <w:lvlText w:val=""/>
      <w:lvlJc w:val="left"/>
      <w:pPr>
        <w:ind w:left="6480" w:hanging="360"/>
      </w:pPr>
      <w:rPr>
        <w:rFonts w:ascii="Wingdings" w:hAnsi="Wingdings" w:hint="default"/>
      </w:rPr>
    </w:lvl>
  </w:abstractNum>
  <w:abstractNum w:abstractNumId="2" w15:restartNumberingAfterBreak="0">
    <w:nsid w:val="5840BE77"/>
    <w:multiLevelType w:val="hybridMultilevel"/>
    <w:tmpl w:val="BA12B54A"/>
    <w:lvl w:ilvl="0" w:tplc="908A77AC">
      <w:start w:val="1"/>
      <w:numFmt w:val="bullet"/>
      <w:lvlText w:val=""/>
      <w:lvlJc w:val="left"/>
      <w:pPr>
        <w:ind w:left="720" w:hanging="360"/>
      </w:pPr>
      <w:rPr>
        <w:rFonts w:ascii="Symbol" w:hAnsi="Symbol" w:hint="default"/>
      </w:rPr>
    </w:lvl>
    <w:lvl w:ilvl="1" w:tplc="79CAD6AA">
      <w:start w:val="1"/>
      <w:numFmt w:val="bullet"/>
      <w:lvlText w:val="o"/>
      <w:lvlJc w:val="left"/>
      <w:pPr>
        <w:ind w:left="1440" w:hanging="360"/>
      </w:pPr>
      <w:rPr>
        <w:rFonts w:ascii="Courier New" w:hAnsi="Courier New" w:hint="default"/>
      </w:rPr>
    </w:lvl>
    <w:lvl w:ilvl="2" w:tplc="AF700C24">
      <w:start w:val="1"/>
      <w:numFmt w:val="bullet"/>
      <w:lvlText w:val=""/>
      <w:lvlJc w:val="left"/>
      <w:pPr>
        <w:ind w:left="2160" w:hanging="360"/>
      </w:pPr>
      <w:rPr>
        <w:rFonts w:ascii="Wingdings" w:hAnsi="Wingdings" w:hint="default"/>
      </w:rPr>
    </w:lvl>
    <w:lvl w:ilvl="3" w:tplc="08E24164">
      <w:start w:val="1"/>
      <w:numFmt w:val="bullet"/>
      <w:lvlText w:val=""/>
      <w:lvlJc w:val="left"/>
      <w:pPr>
        <w:ind w:left="2880" w:hanging="360"/>
      </w:pPr>
      <w:rPr>
        <w:rFonts w:ascii="Symbol" w:hAnsi="Symbol" w:hint="default"/>
      </w:rPr>
    </w:lvl>
    <w:lvl w:ilvl="4" w:tplc="21FAD748">
      <w:start w:val="1"/>
      <w:numFmt w:val="bullet"/>
      <w:lvlText w:val="o"/>
      <w:lvlJc w:val="left"/>
      <w:pPr>
        <w:ind w:left="3600" w:hanging="360"/>
      </w:pPr>
      <w:rPr>
        <w:rFonts w:ascii="Courier New" w:hAnsi="Courier New" w:hint="default"/>
      </w:rPr>
    </w:lvl>
    <w:lvl w:ilvl="5" w:tplc="96129DF8">
      <w:start w:val="1"/>
      <w:numFmt w:val="bullet"/>
      <w:lvlText w:val=""/>
      <w:lvlJc w:val="left"/>
      <w:pPr>
        <w:ind w:left="4320" w:hanging="360"/>
      </w:pPr>
      <w:rPr>
        <w:rFonts w:ascii="Wingdings" w:hAnsi="Wingdings" w:hint="default"/>
      </w:rPr>
    </w:lvl>
    <w:lvl w:ilvl="6" w:tplc="D082B776">
      <w:start w:val="1"/>
      <w:numFmt w:val="bullet"/>
      <w:lvlText w:val=""/>
      <w:lvlJc w:val="left"/>
      <w:pPr>
        <w:ind w:left="5040" w:hanging="360"/>
      </w:pPr>
      <w:rPr>
        <w:rFonts w:ascii="Symbol" w:hAnsi="Symbol" w:hint="default"/>
      </w:rPr>
    </w:lvl>
    <w:lvl w:ilvl="7" w:tplc="9AE83A00">
      <w:start w:val="1"/>
      <w:numFmt w:val="bullet"/>
      <w:lvlText w:val="o"/>
      <w:lvlJc w:val="left"/>
      <w:pPr>
        <w:ind w:left="5760" w:hanging="360"/>
      </w:pPr>
      <w:rPr>
        <w:rFonts w:ascii="Courier New" w:hAnsi="Courier New" w:hint="default"/>
      </w:rPr>
    </w:lvl>
    <w:lvl w:ilvl="8" w:tplc="9B3014EC">
      <w:start w:val="1"/>
      <w:numFmt w:val="bullet"/>
      <w:lvlText w:val=""/>
      <w:lvlJc w:val="left"/>
      <w:pPr>
        <w:ind w:left="6480" w:hanging="360"/>
      </w:pPr>
      <w:rPr>
        <w:rFonts w:ascii="Wingdings" w:hAnsi="Wingdings" w:hint="default"/>
      </w:rPr>
    </w:lvl>
  </w:abstractNum>
  <w:abstractNum w:abstractNumId="3" w15:restartNumberingAfterBreak="0">
    <w:nsid w:val="7460E15E"/>
    <w:multiLevelType w:val="hybridMultilevel"/>
    <w:tmpl w:val="694CF19A"/>
    <w:lvl w:ilvl="0" w:tplc="3B66424E">
      <w:start w:val="1"/>
      <w:numFmt w:val="decimal"/>
      <w:lvlText w:val="%1."/>
      <w:lvlJc w:val="left"/>
      <w:pPr>
        <w:ind w:left="720" w:hanging="360"/>
      </w:pPr>
    </w:lvl>
    <w:lvl w:ilvl="1" w:tplc="F83CDC44">
      <w:start w:val="1"/>
      <w:numFmt w:val="lowerLetter"/>
      <w:lvlText w:val="%2."/>
      <w:lvlJc w:val="left"/>
      <w:pPr>
        <w:ind w:left="1440" w:hanging="360"/>
      </w:pPr>
    </w:lvl>
    <w:lvl w:ilvl="2" w:tplc="A7D65542">
      <w:start w:val="1"/>
      <w:numFmt w:val="lowerRoman"/>
      <w:lvlText w:val="%3."/>
      <w:lvlJc w:val="right"/>
      <w:pPr>
        <w:ind w:left="2160" w:hanging="180"/>
      </w:pPr>
    </w:lvl>
    <w:lvl w:ilvl="3" w:tplc="1B028DC8">
      <w:start w:val="1"/>
      <w:numFmt w:val="decimal"/>
      <w:lvlText w:val="%4."/>
      <w:lvlJc w:val="left"/>
      <w:pPr>
        <w:ind w:left="2880" w:hanging="360"/>
      </w:pPr>
    </w:lvl>
    <w:lvl w:ilvl="4" w:tplc="B42EF9FA">
      <w:start w:val="1"/>
      <w:numFmt w:val="lowerLetter"/>
      <w:lvlText w:val="%5."/>
      <w:lvlJc w:val="left"/>
      <w:pPr>
        <w:ind w:left="3600" w:hanging="360"/>
      </w:pPr>
    </w:lvl>
    <w:lvl w:ilvl="5" w:tplc="AA8C3D9E">
      <w:start w:val="1"/>
      <w:numFmt w:val="lowerRoman"/>
      <w:lvlText w:val="%6."/>
      <w:lvlJc w:val="right"/>
      <w:pPr>
        <w:ind w:left="4320" w:hanging="180"/>
      </w:pPr>
    </w:lvl>
    <w:lvl w:ilvl="6" w:tplc="611006E4">
      <w:start w:val="1"/>
      <w:numFmt w:val="decimal"/>
      <w:lvlText w:val="%7."/>
      <w:lvlJc w:val="left"/>
      <w:pPr>
        <w:ind w:left="5040" w:hanging="360"/>
      </w:pPr>
    </w:lvl>
    <w:lvl w:ilvl="7" w:tplc="B79A3578">
      <w:start w:val="1"/>
      <w:numFmt w:val="lowerLetter"/>
      <w:lvlText w:val="%8."/>
      <w:lvlJc w:val="left"/>
      <w:pPr>
        <w:ind w:left="5760" w:hanging="360"/>
      </w:pPr>
    </w:lvl>
    <w:lvl w:ilvl="8" w:tplc="9378D64A">
      <w:start w:val="1"/>
      <w:numFmt w:val="lowerRoman"/>
      <w:lvlText w:val="%9."/>
      <w:lvlJc w:val="right"/>
      <w:pPr>
        <w:ind w:left="6480" w:hanging="180"/>
      </w:pPr>
    </w:lvl>
  </w:abstractNum>
  <w:abstractNum w:abstractNumId="4" w15:restartNumberingAfterBreak="0">
    <w:nsid w:val="7EC6290F"/>
    <w:multiLevelType w:val="hybridMultilevel"/>
    <w:tmpl w:val="46BAC366"/>
    <w:lvl w:ilvl="0" w:tplc="9BC2D908">
      <w:start w:val="1"/>
      <w:numFmt w:val="bullet"/>
      <w:lvlText w:val=""/>
      <w:lvlJc w:val="left"/>
      <w:pPr>
        <w:ind w:left="720" w:hanging="360"/>
      </w:pPr>
      <w:rPr>
        <w:rFonts w:ascii="Symbol" w:hAnsi="Symbol" w:hint="default"/>
      </w:rPr>
    </w:lvl>
    <w:lvl w:ilvl="1" w:tplc="BA862398">
      <w:start w:val="1"/>
      <w:numFmt w:val="bullet"/>
      <w:lvlText w:val="o"/>
      <w:lvlJc w:val="left"/>
      <w:pPr>
        <w:ind w:left="1440" w:hanging="360"/>
      </w:pPr>
      <w:rPr>
        <w:rFonts w:ascii="Courier New" w:hAnsi="Courier New" w:hint="default"/>
      </w:rPr>
    </w:lvl>
    <w:lvl w:ilvl="2" w:tplc="C614734A">
      <w:start w:val="1"/>
      <w:numFmt w:val="bullet"/>
      <w:lvlText w:val=""/>
      <w:lvlJc w:val="left"/>
      <w:pPr>
        <w:ind w:left="2160" w:hanging="360"/>
      </w:pPr>
      <w:rPr>
        <w:rFonts w:ascii="Wingdings" w:hAnsi="Wingdings" w:hint="default"/>
      </w:rPr>
    </w:lvl>
    <w:lvl w:ilvl="3" w:tplc="3A8A34A2">
      <w:start w:val="1"/>
      <w:numFmt w:val="bullet"/>
      <w:lvlText w:val=""/>
      <w:lvlJc w:val="left"/>
      <w:pPr>
        <w:ind w:left="2880" w:hanging="360"/>
      </w:pPr>
      <w:rPr>
        <w:rFonts w:ascii="Symbol" w:hAnsi="Symbol" w:hint="default"/>
      </w:rPr>
    </w:lvl>
    <w:lvl w:ilvl="4" w:tplc="B14AE912">
      <w:start w:val="1"/>
      <w:numFmt w:val="bullet"/>
      <w:lvlText w:val="o"/>
      <w:lvlJc w:val="left"/>
      <w:pPr>
        <w:ind w:left="3600" w:hanging="360"/>
      </w:pPr>
      <w:rPr>
        <w:rFonts w:ascii="Courier New" w:hAnsi="Courier New" w:hint="default"/>
      </w:rPr>
    </w:lvl>
    <w:lvl w:ilvl="5" w:tplc="17A45ED2">
      <w:start w:val="1"/>
      <w:numFmt w:val="bullet"/>
      <w:lvlText w:val=""/>
      <w:lvlJc w:val="left"/>
      <w:pPr>
        <w:ind w:left="4320" w:hanging="360"/>
      </w:pPr>
      <w:rPr>
        <w:rFonts w:ascii="Wingdings" w:hAnsi="Wingdings" w:hint="default"/>
      </w:rPr>
    </w:lvl>
    <w:lvl w:ilvl="6" w:tplc="F6CED168">
      <w:start w:val="1"/>
      <w:numFmt w:val="bullet"/>
      <w:lvlText w:val=""/>
      <w:lvlJc w:val="left"/>
      <w:pPr>
        <w:ind w:left="5040" w:hanging="360"/>
      </w:pPr>
      <w:rPr>
        <w:rFonts w:ascii="Symbol" w:hAnsi="Symbol" w:hint="default"/>
      </w:rPr>
    </w:lvl>
    <w:lvl w:ilvl="7" w:tplc="20B4F916">
      <w:start w:val="1"/>
      <w:numFmt w:val="bullet"/>
      <w:lvlText w:val="o"/>
      <w:lvlJc w:val="left"/>
      <w:pPr>
        <w:ind w:left="5760" w:hanging="360"/>
      </w:pPr>
      <w:rPr>
        <w:rFonts w:ascii="Courier New" w:hAnsi="Courier New" w:hint="default"/>
      </w:rPr>
    </w:lvl>
    <w:lvl w:ilvl="8" w:tplc="6470A590">
      <w:start w:val="1"/>
      <w:numFmt w:val="bullet"/>
      <w:lvlText w:val=""/>
      <w:lvlJc w:val="left"/>
      <w:pPr>
        <w:ind w:left="6480" w:hanging="360"/>
      </w:pPr>
      <w:rPr>
        <w:rFonts w:ascii="Wingdings" w:hAnsi="Wingdings" w:hint="default"/>
      </w:rPr>
    </w:lvl>
  </w:abstractNum>
  <w:num w:numId="1" w16cid:durableId="1115321561">
    <w:abstractNumId w:val="2"/>
  </w:num>
  <w:num w:numId="2" w16cid:durableId="610016720">
    <w:abstractNumId w:val="4"/>
  </w:num>
  <w:num w:numId="3" w16cid:durableId="1657882994">
    <w:abstractNumId w:val="3"/>
  </w:num>
  <w:num w:numId="4" w16cid:durableId="52196275">
    <w:abstractNumId w:val="0"/>
  </w:num>
  <w:num w:numId="5" w16cid:durableId="1289508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DCF247"/>
    <w:rsid w:val="002803B7"/>
    <w:rsid w:val="00A50A2D"/>
    <w:rsid w:val="00DE7040"/>
    <w:rsid w:val="242ACCB1"/>
    <w:rsid w:val="56DCF247"/>
    <w:rsid w:val="6A07A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8C28C"/>
  <w15:chartTrackingRefBased/>
  <w15:docId w15:val="{D04B1BEA-5336-4228-94D5-CE212D77B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42ACC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671</Words>
  <Characters>3656</Characters>
  <Application>Microsoft Office Word</Application>
  <DocSecurity>0</DocSecurity>
  <Lines>60</Lines>
  <Paragraphs>26</Paragraphs>
  <ScaleCrop>false</ScaleCrop>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Naganathan Muthuramalingam</dc:creator>
  <cp:keywords/>
  <dc:description/>
  <cp:lastModifiedBy>Saad Aljohani</cp:lastModifiedBy>
  <cp:revision>2</cp:revision>
  <dcterms:created xsi:type="dcterms:W3CDTF">2026-03-15T08:40:00Z</dcterms:created>
  <dcterms:modified xsi:type="dcterms:W3CDTF">2026-03-29T07:22:00Z</dcterms:modified>
</cp:coreProperties>
</file>