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Actors: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Homeowner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Lighting Designer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Entities: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Homeowner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Light Designer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Bridge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Widget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Business Model: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Lighting Designers connect the loads 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 the bridge in order to form them into groups. The groups can then be formed into scenes that the homeowner can turn off and on.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Lighting Designers can edit a group by changing the brightness and color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Lighting Designers can edit a scene by changing the group(s) it contains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Homeowner can select specific scenes to turn on and off using a widget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use a widget to have minimal but quick access to basic functionalities of the app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creating a scene, the lighting designer can choose to view a graphical preview to see how the groups interact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rPr>
        <w:b w:val="1"/>
        <w:sz w:val="60"/>
        <w:szCs w:val="60"/>
        <w:u w:val="single"/>
      </w:rPr>
    </w:pPr>
    <w:r w:rsidDel="00000000" w:rsidR="00000000" w:rsidRPr="00000000">
      <w:rPr>
        <w:b w:val="1"/>
        <w:sz w:val="60"/>
        <w:szCs w:val="60"/>
        <w:u w:val="single"/>
        <w:rtl w:val="0"/>
      </w:rPr>
      <w:t xml:space="preserve">Business Model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