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C1E3A" w14:textId="77777777" w:rsidR="00096260" w:rsidRDefault="00000000">
      <w:pPr>
        <w:spacing w:after="80"/>
        <w:jc w:val="center"/>
      </w:pPr>
      <w:r>
        <w:rPr>
          <w:b/>
          <w:bCs/>
          <w:caps/>
          <w:sz w:val="28"/>
          <w:szCs w:val="28"/>
        </w:rPr>
        <w:t>BUDGET JUSTIFICATION</w:t>
      </w:r>
    </w:p>
    <w:p w14:paraId="0DF05869" w14:textId="77777777" w:rsidR="00096260" w:rsidRDefault="00000000">
      <w:pPr>
        <w:spacing w:after="240"/>
        <w:jc w:val="center"/>
      </w:pPr>
      <w:r>
        <w:rPr>
          <w:i/>
          <w:iCs/>
        </w:rPr>
        <w:t xml:space="preserve">University of </w:t>
      </w:r>
      <w:proofErr w:type="spellStart"/>
      <w:r>
        <w:rPr>
          <w:i/>
          <w:iCs/>
        </w:rPr>
        <w:t>Piglan</w:t>
      </w:r>
      <w:proofErr w:type="spellEnd"/>
    </w:p>
    <w:p w14:paraId="587C769B" w14:textId="77777777" w:rsidR="00096260" w:rsidRDefault="00000000">
      <w:pPr>
        <w:spacing w:before="280" w:after="120"/>
      </w:pPr>
      <w:r>
        <w:rPr>
          <w:b/>
          <w:bCs/>
          <w:sz w:val="26"/>
          <w:szCs w:val="26"/>
        </w:rPr>
        <w:t>A. Senior Personnel ($82,000)</w:t>
      </w:r>
    </w:p>
    <w:p w14:paraId="39DEF692" w14:textId="77777777" w:rsidR="00096260" w:rsidRDefault="00000000">
      <w:pPr>
        <w:spacing w:after="100"/>
      </w:pPr>
      <w:r>
        <w:rPr>
          <w:b/>
          <w:bCs/>
        </w:rPr>
        <w:t xml:space="preserve">Banister Bacon, Principal Investigator (Effort: 1 Summer month). </w:t>
      </w:r>
      <w:r>
        <w:t>Funds are requested based on an Institutional Base Salary (IBS) of $108,000. Banister Bacon, as Principal Investigator, provides overall project leadership, directs the research strategy, and oversees the integration of computational modeling with safety validation protocols. Total Requested Salary: $12,000 ($12,000 in Year 1).</w:t>
      </w:r>
    </w:p>
    <w:p w14:paraId="39A605D9" w14:textId="77777777" w:rsidR="00096260" w:rsidRDefault="00000000">
      <w:pPr>
        <w:spacing w:after="100"/>
      </w:pPr>
      <w:proofErr w:type="gramStart"/>
      <w:r>
        <w:rPr>
          <w:b/>
          <w:bCs/>
        </w:rPr>
        <w:t>Than</w:t>
      </w:r>
      <w:proofErr w:type="gramEnd"/>
      <w:r>
        <w:rPr>
          <w:b/>
          <w:bCs/>
        </w:rPr>
        <w:t xml:space="preserve"> Wiggins, Data Scientist (Effort: 12 Calendar months). </w:t>
      </w:r>
      <w:r>
        <w:t xml:space="preserve">Funds are requested based on an Institutional Base Salary (IBS) of $70,000. </w:t>
      </w:r>
      <w:proofErr w:type="gramStart"/>
      <w:r>
        <w:t>Than</w:t>
      </w:r>
      <w:proofErr w:type="gramEnd"/>
      <w:r>
        <w:t xml:space="preserve"> Wiggins serves as the Data Scientist responsible for developing multi-component phase diagrams and simulating interfacial stress and thermodynamic stability between the bronze substrate and uranium payload layers. Total Requested Salary: $70,000 ($70,000 in Year 1).</w:t>
      </w:r>
    </w:p>
    <w:p w14:paraId="313B2243" w14:textId="77777777" w:rsidR="00096260" w:rsidRDefault="00000000">
      <w:pPr>
        <w:spacing w:after="100"/>
      </w:pPr>
      <w:r>
        <w:t xml:space="preserve">The total request for Senior Personnel is </w:t>
      </w:r>
      <w:r>
        <w:rPr>
          <w:b/>
          <w:bCs/>
        </w:rPr>
        <w:t>$82,000</w:t>
      </w:r>
      <w:r>
        <w:t xml:space="preserve"> for the 1-year period of performance ($82,000 in Year 1).</w:t>
      </w:r>
    </w:p>
    <w:p w14:paraId="449E224E" w14:textId="77777777" w:rsidR="00096260" w:rsidRDefault="00000000">
      <w:pPr>
        <w:spacing w:after="100"/>
      </w:pPr>
      <w:r>
        <w:t>Senior personnel are aware of NSF policy limiting NSF support for senior personnel to two months in any year. Since the Data Scientist will be fully engaged in efforts that holistically relate to this project throughout the year, we seek approval for this position beyond the NSF two-month limitation.</w:t>
      </w:r>
    </w:p>
    <w:p w14:paraId="0196EC7F" w14:textId="77777777" w:rsidR="00096260" w:rsidRDefault="00000000">
      <w:pPr>
        <w:spacing w:before="280" w:after="120"/>
      </w:pPr>
      <w:r>
        <w:rPr>
          <w:b/>
          <w:bCs/>
          <w:sz w:val="26"/>
          <w:szCs w:val="26"/>
        </w:rPr>
        <w:t>B. Other Personnel ($0)</w:t>
      </w:r>
    </w:p>
    <w:p w14:paraId="15FB75AB" w14:textId="77777777" w:rsidR="00096260" w:rsidRDefault="00000000">
      <w:pPr>
        <w:spacing w:before="280" w:after="120"/>
      </w:pPr>
      <w:r>
        <w:rPr>
          <w:b/>
          <w:bCs/>
          <w:sz w:val="26"/>
          <w:szCs w:val="26"/>
        </w:rPr>
        <w:t>C. Fringe Benefits ($37,400)</w:t>
      </w:r>
    </w:p>
    <w:p w14:paraId="6ADDD711" w14:textId="457A876E" w:rsidR="00096260" w:rsidRDefault="00000000">
      <w:pPr>
        <w:spacing w:after="100"/>
      </w:pPr>
      <w:r>
        <w:t xml:space="preserve">Fringe benefits for </w:t>
      </w:r>
      <w:proofErr w:type="spellStart"/>
      <w:r>
        <w:t>Piglan</w:t>
      </w:r>
      <w:proofErr w:type="spellEnd"/>
      <w:r>
        <w:t xml:space="preserve"> University personnel are calculated in accordance with institutional policy. For full-time faculty receiving summer salary only, a rate of 25% is applied, excluding the medical benefit flat fee. For the full-time Data Scientist, benefits are calculated at 25% of salary (15% retirement, 6% social security, and 4% worker's compensation) plus the fixed $16,900 annual medical benefit. The Data Scientist fringe total is $</w:t>
      </w:r>
      <w:r w:rsidR="00872AF9">
        <w:t>34</w:t>
      </w:r>
      <w:r>
        <w:t>,</w:t>
      </w:r>
      <w:r w:rsidR="00872AF9">
        <w:t>4</w:t>
      </w:r>
      <w:r>
        <w:t>00 (</w:t>
      </w:r>
      <w:r w:rsidR="00872AF9">
        <w:t>25% of $70,000</w:t>
      </w:r>
      <w:r>
        <w:t xml:space="preserve"> + $16,900 = $34,400</w:t>
      </w:r>
      <w:r w:rsidR="00872AF9">
        <w:t>)</w:t>
      </w:r>
      <w:r>
        <w:t>. The PI fringe total is $3,000 (25% of $12,000).</w:t>
      </w:r>
    </w:p>
    <w:p w14:paraId="5B90AA7C" w14:textId="77777777" w:rsidR="00096260" w:rsidRDefault="00000000">
      <w:pPr>
        <w:spacing w:after="100"/>
      </w:pPr>
      <w:r>
        <w:rPr>
          <w:b/>
          <w:bCs/>
        </w:rPr>
        <w:t xml:space="preserve">Full-time Faculty (Summer Salary) (Rate: 25% of summer salary (15% retirement, 6% social security, 4% worker's compensation); no medical benefit applied.). </w:t>
      </w:r>
      <w:r>
        <w:t>Category Total: $3,000 ($3,000 in Year 1).</w:t>
      </w:r>
    </w:p>
    <w:p w14:paraId="57E95081" w14:textId="77777777" w:rsidR="00096260" w:rsidRDefault="00000000">
      <w:pPr>
        <w:spacing w:after="100"/>
      </w:pPr>
      <w:r>
        <w:rPr>
          <w:b/>
          <w:bCs/>
        </w:rPr>
        <w:t xml:space="preserve">Full-time Data Scientist (Rate: 25% of salary (15% retirement, 6% social security, 4% worker's compensation) plus $16,900 flat medical benefit.). </w:t>
      </w:r>
      <w:r>
        <w:t>Category Total: $34,400 ($34,400 in Year 1).</w:t>
      </w:r>
    </w:p>
    <w:p w14:paraId="2CC24F90" w14:textId="77777777" w:rsidR="00096260" w:rsidRDefault="00000000">
      <w:pPr>
        <w:spacing w:after="100"/>
      </w:pPr>
      <w:r>
        <w:t xml:space="preserve">The total request for Fringe Benefits is </w:t>
      </w:r>
      <w:r>
        <w:rPr>
          <w:b/>
          <w:bCs/>
        </w:rPr>
        <w:t>$37,400</w:t>
      </w:r>
      <w:r>
        <w:t xml:space="preserve"> for the 1-year period of performance ($37,400 in Year 1).</w:t>
      </w:r>
    </w:p>
    <w:p w14:paraId="357313F7" w14:textId="77777777" w:rsidR="00096260" w:rsidRDefault="00000000">
      <w:pPr>
        <w:spacing w:before="280" w:after="120"/>
      </w:pPr>
      <w:r>
        <w:rPr>
          <w:b/>
          <w:bCs/>
          <w:sz w:val="26"/>
          <w:szCs w:val="26"/>
        </w:rPr>
        <w:t>D. Equipment ($15,000)</w:t>
      </w:r>
    </w:p>
    <w:p w14:paraId="1AD1BD9B" w14:textId="77777777" w:rsidR="00096260" w:rsidRDefault="00000000">
      <w:pPr>
        <w:spacing w:after="100"/>
      </w:pPr>
      <w:proofErr w:type="spellStart"/>
      <w:r>
        <w:rPr>
          <w:b/>
          <w:bCs/>
        </w:rPr>
        <w:t>BEARUranium</w:t>
      </w:r>
      <w:proofErr w:type="spellEnd"/>
      <w:r>
        <w:rPr>
          <w:b/>
          <w:bCs/>
        </w:rPr>
        <w:t xml:space="preserve"> 7UY-8JS Paint Enricher ($15,000): </w:t>
      </w:r>
      <w:r>
        <w:t>This specialized apparatus is essential for executing precise surface application tests and evaluating thin-film bonding integrity between the bronze statue surface and the heavy-metal uranium payload. Its micromechanical precision allows for experimental verification of interfacial stability without compromising the monument's structural profile. The cost was derived through a competitive vendor bidding process managed by the university purchasing department.</w:t>
      </w:r>
    </w:p>
    <w:p w14:paraId="7B6392BC" w14:textId="77777777" w:rsidR="00096260" w:rsidRDefault="00000000">
      <w:pPr>
        <w:spacing w:before="280" w:after="120"/>
      </w:pPr>
      <w:r>
        <w:rPr>
          <w:b/>
          <w:bCs/>
          <w:sz w:val="26"/>
          <w:szCs w:val="26"/>
        </w:rPr>
        <w:t>E. Travel ($0)</w:t>
      </w:r>
    </w:p>
    <w:p w14:paraId="360135AD" w14:textId="77777777" w:rsidR="00096260" w:rsidRDefault="00000000">
      <w:pPr>
        <w:spacing w:before="280" w:after="120"/>
      </w:pPr>
      <w:r>
        <w:rPr>
          <w:b/>
          <w:bCs/>
          <w:sz w:val="26"/>
          <w:szCs w:val="26"/>
        </w:rPr>
        <w:lastRenderedPageBreak/>
        <w:t>F. Participant Support Costs ($0)</w:t>
      </w:r>
    </w:p>
    <w:p w14:paraId="6774FF98" w14:textId="77777777" w:rsidR="00096260" w:rsidRDefault="00000000">
      <w:pPr>
        <w:spacing w:before="280" w:after="120"/>
      </w:pPr>
      <w:r>
        <w:rPr>
          <w:b/>
          <w:bCs/>
          <w:sz w:val="26"/>
          <w:szCs w:val="26"/>
        </w:rPr>
        <w:t>G. Other Direct Costs ($12,000)</w:t>
      </w:r>
    </w:p>
    <w:p w14:paraId="0E7E4A94" w14:textId="77777777" w:rsidR="00096260" w:rsidRDefault="00000000">
      <w:pPr>
        <w:spacing w:before="160" w:after="80"/>
      </w:pPr>
      <w:r>
        <w:rPr>
          <w:b/>
          <w:bCs/>
          <w:sz w:val="24"/>
          <w:szCs w:val="24"/>
        </w:rPr>
        <w:t>G.3 Consultant Services ($12,000)</w:t>
      </w:r>
    </w:p>
    <w:p w14:paraId="1DFFD9DF" w14:textId="77777777" w:rsidR="00096260" w:rsidRDefault="00000000">
      <w:pPr>
        <w:spacing w:after="100"/>
      </w:pPr>
      <w:r>
        <w:rPr>
          <w:b/>
          <w:bCs/>
        </w:rPr>
        <w:t xml:space="preserve">Pynk </w:t>
      </w:r>
      <w:proofErr w:type="spellStart"/>
      <w:r>
        <w:rPr>
          <w:b/>
          <w:bCs/>
        </w:rPr>
        <w:t>Panthyr</w:t>
      </w:r>
      <w:proofErr w:type="spellEnd"/>
      <w:r>
        <w:rPr>
          <w:b/>
          <w:bCs/>
        </w:rPr>
        <w:t xml:space="preserve"> ($12,000): </w:t>
      </w:r>
      <w:r>
        <w:t xml:space="preserve">Pynk </w:t>
      </w:r>
      <w:proofErr w:type="spellStart"/>
      <w:r>
        <w:t>Panthyr</w:t>
      </w:r>
      <w:proofErr w:type="spellEnd"/>
      <w:r>
        <w:t xml:space="preserve"> will provide expertise in Uranium evaluation and hazardous materials safety at a daily rate of $400 for 30 days (30 days × $400/day = $12,000). Consultant Pynk </w:t>
      </w:r>
      <w:proofErr w:type="spellStart"/>
      <w:r>
        <w:t>Panthyr</w:t>
      </w:r>
      <w:proofErr w:type="spellEnd"/>
      <w:r>
        <w:t xml:space="preserve"> is engaged to provide high-level expertise in uranium evaluation and hazardous materials protocols essential to the structural safety of the project. Pynk </w:t>
      </w:r>
      <w:proofErr w:type="spellStart"/>
      <w:r>
        <w:t>Panthyr</w:t>
      </w:r>
      <w:proofErr w:type="spellEnd"/>
      <w:r>
        <w:t xml:space="preserve"> will perform 30 days × $400/day = $12,000 to audit the interfacial stress simulations and define the necessary containment parameters for high-density heavy-metal application. This expertise is critical to ensure that all experimental procedures adhere to institutional safety mandates and that the metallurgical bonding predictions are validated against rigorous hazardous materials standards. ($12,000 in Year 1)</w:t>
      </w:r>
    </w:p>
    <w:p w14:paraId="7B560C23" w14:textId="77777777" w:rsidR="00096260" w:rsidRDefault="00000000">
      <w:pPr>
        <w:spacing w:before="280" w:after="120"/>
      </w:pPr>
      <w:r>
        <w:rPr>
          <w:b/>
          <w:bCs/>
          <w:sz w:val="26"/>
          <w:szCs w:val="26"/>
        </w:rPr>
        <w:t>I. Indirect Costs (Facilities and Administrative Costs) ($28,656)</w:t>
      </w:r>
    </w:p>
    <w:p w14:paraId="2F1C8989" w14:textId="77777777" w:rsidR="00096260" w:rsidRDefault="00000000">
      <w:pPr>
        <w:spacing w:after="100"/>
      </w:pPr>
      <w:r>
        <w:t xml:space="preserve">Indirect costs are calculated at the federally negotiated rate of 24% of total salaries, wages, and benefits, in accordance with </w:t>
      </w:r>
      <w:proofErr w:type="spellStart"/>
      <w:r>
        <w:t>Piglan</w:t>
      </w:r>
      <w:proofErr w:type="spellEnd"/>
      <w:r>
        <w:t xml:space="preserve"> University's DHHS-negotiated agreement effective January 1, 2026. This rate is applied to the direct personnel and fringe benefit costs to support the necessary institutional infrastructure for this research project. ($28,656 in Year 1)</w:t>
      </w:r>
    </w:p>
    <w:sectPr w:rsidR="0009626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D7A48"/>
    <w:multiLevelType w:val="hybridMultilevel"/>
    <w:tmpl w:val="BD6EC620"/>
    <w:lvl w:ilvl="0" w:tplc="31EA40EA">
      <w:start w:val="1"/>
      <w:numFmt w:val="bullet"/>
      <w:lvlText w:val="●"/>
      <w:lvlJc w:val="left"/>
      <w:pPr>
        <w:ind w:left="720" w:hanging="360"/>
      </w:pPr>
    </w:lvl>
    <w:lvl w:ilvl="1" w:tplc="DB4EDFBC">
      <w:start w:val="1"/>
      <w:numFmt w:val="bullet"/>
      <w:lvlText w:val="○"/>
      <w:lvlJc w:val="left"/>
      <w:pPr>
        <w:ind w:left="1440" w:hanging="360"/>
      </w:pPr>
    </w:lvl>
    <w:lvl w:ilvl="2" w:tplc="B5921E84">
      <w:start w:val="1"/>
      <w:numFmt w:val="bullet"/>
      <w:lvlText w:val="■"/>
      <w:lvlJc w:val="left"/>
      <w:pPr>
        <w:ind w:left="2160" w:hanging="360"/>
      </w:pPr>
    </w:lvl>
    <w:lvl w:ilvl="3" w:tplc="0024ABB0">
      <w:start w:val="1"/>
      <w:numFmt w:val="bullet"/>
      <w:lvlText w:val="●"/>
      <w:lvlJc w:val="left"/>
      <w:pPr>
        <w:ind w:left="2880" w:hanging="360"/>
      </w:pPr>
    </w:lvl>
    <w:lvl w:ilvl="4" w:tplc="FB1884BE">
      <w:start w:val="1"/>
      <w:numFmt w:val="bullet"/>
      <w:lvlText w:val="○"/>
      <w:lvlJc w:val="left"/>
      <w:pPr>
        <w:ind w:left="3600" w:hanging="360"/>
      </w:pPr>
    </w:lvl>
    <w:lvl w:ilvl="5" w:tplc="F04AFE7C">
      <w:start w:val="1"/>
      <w:numFmt w:val="bullet"/>
      <w:lvlText w:val="■"/>
      <w:lvlJc w:val="left"/>
      <w:pPr>
        <w:ind w:left="4320" w:hanging="360"/>
      </w:pPr>
    </w:lvl>
    <w:lvl w:ilvl="6" w:tplc="7468489C">
      <w:start w:val="1"/>
      <w:numFmt w:val="bullet"/>
      <w:lvlText w:val="●"/>
      <w:lvlJc w:val="left"/>
      <w:pPr>
        <w:ind w:left="5040" w:hanging="360"/>
      </w:pPr>
    </w:lvl>
    <w:lvl w:ilvl="7" w:tplc="FFB8E0C8">
      <w:start w:val="1"/>
      <w:numFmt w:val="bullet"/>
      <w:lvlText w:val="●"/>
      <w:lvlJc w:val="left"/>
      <w:pPr>
        <w:ind w:left="5760" w:hanging="360"/>
      </w:pPr>
    </w:lvl>
    <w:lvl w:ilvl="8" w:tplc="D49A9D36">
      <w:start w:val="1"/>
      <w:numFmt w:val="bullet"/>
      <w:lvlText w:val="●"/>
      <w:lvlJc w:val="left"/>
      <w:pPr>
        <w:ind w:left="6480" w:hanging="360"/>
      </w:pPr>
    </w:lvl>
  </w:abstractNum>
  <w:num w:numId="1" w16cid:durableId="4429168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260"/>
    <w:rsid w:val="00096260"/>
    <w:rsid w:val="004D37AE"/>
    <w:rsid w:val="00872A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6C7825"/>
  <w15:docId w15:val="{29844A61-33EA-D240-ADC1-D6B60A29F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633</Words>
  <Characters>3612</Characters>
  <Application>Microsoft Office Word</Application>
  <DocSecurity>0</DocSecurity>
  <Lines>30</Lines>
  <Paragraphs>8</Paragraphs>
  <ScaleCrop>false</ScaleCrop>
  <Company/>
  <LinksUpToDate>false</LinksUpToDate>
  <CharactersWithSpaces>4237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Nathan Wiggins</cp:lastModifiedBy>
  <cp:revision>2</cp:revision>
  <dcterms:created xsi:type="dcterms:W3CDTF">2026-06-17T18:45:00Z</dcterms:created>
  <dcterms:modified xsi:type="dcterms:W3CDTF">2026-06-17T18:51:00Z</dcterms:modified>
</cp:coreProperties>
</file>