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caps/>
        </w:rPr>
        <w:t xml:space="preserve">BUDGET JUSTIFICATION</w:t>
      </w:r>
    </w:p>
    <w:p>
      <w:pPr>
        <w:spacing w:after="240"/>
        <w:jc w:val="center"/>
      </w:pPr>
      <w:r>
        <w:rPr>
          <w:i/>
          <w:iCs/>
          <w:sz w:val="22"/>
          <w:szCs w:val="22"/>
        </w:rPr>
        <w:t xml:space="preserve">University of Piglan</w:t>
      </w:r>
    </w:p>
    <w:p>
      <w:pPr>
        <w:spacing w:before="280" w:after="120"/>
      </w:pPr>
      <w:r>
        <w:rPr>
          <w:b/>
          <w:bCs/>
          <w:sz w:val="26"/>
          <w:szCs w:val="26"/>
        </w:rPr>
        <w:t xml:space="preserve">A. Senior Personnel ($435,350)</w:t>
      </w:r>
    </w:p>
    <w:p>
      <w:pPr>
        <w:spacing w:after="100"/>
      </w:pPr>
      <w:r>
        <w:rPr>
          <w:b/>
          <w:bCs/>
        </w:rPr>
        <w:t xml:space="preserve">Banister Bacon, Principal Investigator (Effort: 1 summer month). </w:t>
      </w:r>
      <w:r>
        <w:t xml:space="preserve">Funds are requested based on an Institutional Base Salary (IBS) of $108,000. As Principal Investigator, Banister Bacon will provide overall scientific leadership, oversee the metallurgical bonding studies, and manage institutional compliance for the porcine monument integration project. Total Requested Salary: $63,710 ($12,000 in Year 1, $12,360 in Year 2, $12,731 in Year 3, $13,113 in Year 4, $13,506 in Year 5).</w:t>
      </w:r>
      <w:r>
        <w:rPr>
          <w:i/>
          <w:iCs/>
        </w:rPr>
        <w:t xml:space="preserve"> Salary reflects a 3% annual increase.</w:t>
      </w:r>
    </w:p>
    <w:p>
      <w:pPr>
        <w:spacing w:after="100"/>
      </w:pPr>
      <w:r>
        <w:rPr>
          <w:b/>
          <w:bCs/>
        </w:rPr>
        <w:t xml:space="preserve">Than Wiggins, Data Scientist (Effort: 12 calendar months). </w:t>
      </w:r>
      <w:r>
        <w:t xml:space="preserve">Funds are requested based on an Institutional Base Salary (IBS) of $70,000. The Data Scientist will lead the computational phase, developing multi-component phase diagrams to simulate stress and thermodynamic stability at the bronze-uranium interface, which is critical for successful metallurgical bonding. Total Requested Salary: $371,640 ($70,000 in Year 1, $72,100 in Year 2, $74,263 in Year 3, $76,491 in Year 4, $78,786 in Year 5).</w:t>
      </w:r>
      <w:r>
        <w:rPr>
          <w:i/>
          <w:iCs/>
        </w:rPr>
        <w:t xml:space="preserve"> Salary reflects a 3% annual increase.</w:t>
      </w:r>
    </w:p>
    <w:p>
      <w:pPr>
        <w:spacing w:after="100"/>
      </w:pPr>
      <w:r>
        <w:t xml:space="preserve">The total request for Senior Personnel is </w:t>
      </w:r>
      <w:r>
        <w:rPr>
          <w:b/>
          <w:bCs/>
        </w:rPr>
        <w:t xml:space="preserve">$435,350</w:t>
      </w:r>
      <w:r>
        <w:t xml:space="preserve"> for the 5-year period of performance ($82,000 in Year 1, $84,460 in Year 2, $86,994 in Year 3, $89,604 in Year 4, $92,292 in Year 5).</w:t>
      </w:r>
    </w:p>
    <w:p>
      <w:pPr>
        <w:spacing w:after="100"/>
      </w:pPr>
      <w:r>
        <w:t xml:space="preserve">Senior personnel are aware of NSF policy limiting NSF support for senior personnel to two months in any year. Since the Data Scientist will be fully engaged in efforts that holistically relate to this project throughout the year, we seek approval for this position beyond the NSF two-month limitation.</w:t>
      </w:r>
    </w:p>
    <w:p>
      <w:pPr>
        <w:spacing w:before="280" w:after="120"/>
      </w:pPr>
      <w:r>
        <w:rPr>
          <w:b/>
          <w:bCs/>
          <w:sz w:val="26"/>
          <w:szCs w:val="26"/>
        </w:rPr>
        <w:t xml:space="preserve">B. Other Personnel ($822,916)</w:t>
      </w:r>
    </w:p>
    <w:p>
      <w:pPr>
        <w:spacing w:after="100"/>
      </w:pPr>
      <w:r>
        <w:rPr>
          <w:b/>
          <w:bCs/>
        </w:rPr>
        <w:t xml:space="preserve">Postdoctoral Scholars (2 individuals, Effort: 12 Calendar months each per year). </w:t>
      </w:r>
      <w:r>
        <w:t xml:space="preserve">Base rate: $60,000/individual/year. Two Postdoctoral Scholars will provide daily supervision of laboratory-scale testing blocks and microstructural analysis to ensure the bonding integrity of the uranium payload with the bronze monument material. Total Requested: $637,096 ($120,000 in Year 1, $123,600 in Year 2, $127,308 in Year 3, $131,127 in Year 4, $135,061 in Year 5).</w:t>
      </w:r>
      <w:r>
        <w:rPr>
          <w:i/>
          <w:iCs/>
        </w:rPr>
        <w:t xml:space="preserve"> Stipends reflect a 3% annual increase.</w:t>
      </w:r>
    </w:p>
    <w:p>
      <w:pPr>
        <w:spacing w:after="100"/>
      </w:pPr>
      <w:r>
        <w:rPr>
          <w:b/>
          <w:bCs/>
        </w:rPr>
        <w:t xml:space="preserve">Graduate Students (5 individuals, Effort: 100 hours each per year). </w:t>
      </w:r>
      <w:r>
        <w:t xml:space="preserve">Base rate: $70/hour. Five Graduate Research Assistants will perform mechanical stress analysis, scratch testing, and automated data collection to support Phase II and Phase III objectives. Total Requested: $185,820 ($35,000 in Year 1, $36,050 in Year 2, $37,132 in Year 3, $38,245 in Year 4, $39,393 in Year 5).</w:t>
      </w:r>
      <w:r>
        <w:rPr>
          <w:i/>
          <w:iCs/>
        </w:rPr>
        <w:t xml:space="preserve"> Wages reflect a 3% annual increase.</w:t>
      </w:r>
    </w:p>
    <w:p>
      <w:pPr>
        <w:spacing w:after="100"/>
      </w:pPr>
      <w:r>
        <w:t xml:space="preserve">The total request for Other Personnel is </w:t>
      </w:r>
      <w:r>
        <w:rPr>
          <w:b/>
          <w:bCs/>
        </w:rPr>
        <w:t xml:space="preserve">$822,916</w:t>
      </w:r>
      <w:r>
        <w:t xml:space="preserve"> for the 5-year period of performance ($155,000 in Year 1, $159,650 in Year 2, $164,440 in Year 3, $169,372 in Year 4, $174,454 in Year 5).</w:t>
      </w:r>
    </w:p>
    <w:p>
      <w:pPr>
        <w:spacing w:before="280" w:after="120"/>
      </w:pPr>
      <w:r>
        <w:rPr>
          <w:b/>
          <w:bCs/>
          <w:sz w:val="26"/>
          <w:szCs w:val="26"/>
        </w:rPr>
        <w:t xml:space="preserve">C. Fringe Benefits ($534,619)</w:t>
      </w:r>
    </w:p>
    <w:p>
      <w:pPr>
        <w:spacing w:after="100"/>
      </w:pPr>
      <w:r>
        <w:t xml:space="preserve">Fringe benefits for Piglan University personnel are calculated in accordance with institutional policies. For full-time faculty and staff, the fringe rate is 25% (15% for retirement, 6% for social security, and 4% for worker's compensation) plus a flat annual medical benefit of $16,900. For full-time faculty requesting only summer salary, the 25% rate is applied without the medical benefit. For part-time personnel, specifically graduate research assistants, fringe benefits are calculated at a 7% rate covering partial FICA and worker's compensation.</w:t>
      </w:r>
    </w:p>
    <w:p>
      <w:pPr>
        <w:spacing w:after="100"/>
      </w:pPr>
      <w:r>
        <w:rPr>
          <w:b/>
          <w:bCs/>
        </w:rPr>
        <w:t xml:space="preserve">Full-Time Faculty (Summer Salary Only) (Rate: 25% of salary; flat medical benefit excluded). </w:t>
      </w:r>
      <w:r>
        <w:t xml:space="preserve">Category Total: $15,928 ($3,000 in Year 1, $3,090 in Year 2, $3,183 in Year 3, $3,278 in Year 4, $3,377 in Year 5).</w:t>
      </w:r>
    </w:p>
    <w:p>
      <w:pPr>
        <w:spacing w:after="100"/>
      </w:pPr>
      <w:r>
        <w:rPr>
          <w:b/>
          <w:bCs/>
        </w:rPr>
        <w:t xml:space="preserve">Full-Time Staff (Data Scientist and Postdoctoral Scholars) (Rate: 25% of salary plus $16,900 annual medical benefits). </w:t>
      </w:r>
      <w:r>
        <w:t xml:space="preserve">Category Total: $505,684 ($98,200 in Year 1, $99,625 in Year 2, $101,093 in Year 3, $102,605 in Year 4, $104,162 in Year 5).</w:t>
      </w:r>
    </w:p>
    <w:p>
      <w:pPr>
        <w:spacing w:after="100"/>
      </w:pPr>
      <w:r>
        <w:rPr>
          <w:b/>
          <w:bCs/>
        </w:rPr>
        <w:t xml:space="preserve">Part-Time Personnel (Graduate Research Assistants) (Rate: 7% of wages). </w:t>
      </w:r>
      <w:r>
        <w:t xml:space="preserve">Category Total: $13,007 ($2,450 in Year 1, $2,524 in Year 2, $2,599 in Year 3, $2,677 in Year 4, $2,758 in Year 5).</w:t>
      </w:r>
    </w:p>
    <w:p>
      <w:pPr>
        <w:spacing w:after="100"/>
      </w:pPr>
      <w:r>
        <w:t xml:space="preserve">The total request for Fringe Benefits is </w:t>
      </w:r>
      <w:r>
        <w:rPr>
          <w:b/>
          <w:bCs/>
        </w:rPr>
        <w:t xml:space="preserve">$534,619</w:t>
      </w:r>
      <w:r>
        <w:t xml:space="preserve"> for the 5-year period of performance ($103,650 in Year 1, $105,239 in Year 2, $106,875 in Year 3, $108,560 in Year 4, $110,296 in Year 5).</w:t>
      </w:r>
    </w:p>
    <w:p>
      <w:pPr>
        <w:spacing w:before="280" w:after="120"/>
      </w:pPr>
      <w:r>
        <w:rPr>
          <w:b/>
          <w:bCs/>
          <w:sz w:val="26"/>
          <w:szCs w:val="26"/>
        </w:rPr>
        <w:t xml:space="preserve">D. Equipment ($21,000)</w:t>
      </w:r>
    </w:p>
    <w:p>
      <w:pPr>
        <w:spacing w:after="100"/>
      </w:pPr>
      <w:r>
        <w:rPr>
          <w:b/>
          <w:bCs/>
        </w:rPr>
        <w:t xml:space="preserve">BEARUranium 7UY-8JS Paint Enricher ($15,000): </w:t>
      </w:r>
      <w:r>
        <w:t xml:space="preserve">This specialized apparatus is essential for the transition from computational modeling to experimental verification in Phase I. It provides the micromechanical precision required to execute surface application tests and evaluate thin-film bonding integrity between the bronze-uranium boundary layers without disrupting the underlying structural profile of the porcine monument. The cost was derived through a competitive vendor bidding process managed by the university purchasing department.</w:t>
      </w:r>
    </w:p>
    <w:p>
      <w:pPr>
        <w:spacing w:after="100"/>
      </w:pPr>
      <w:r>
        <w:rPr>
          <w:b/>
          <w:bCs/>
        </w:rPr>
        <w:t xml:space="preserve">Model UX-8800 Uranium Disposal System ($6,000): </w:t>
      </w:r>
      <w:r>
        <w:t xml:space="preserve">This equipment is critical for Phase III activities to maintain compliance with federal laboratory safety standards and institutional protocols. The system is necessary to isolate and neutralize residual processing byproducts, rinse solutions, and heavy-metal microstructures generated during the stabilization research, ensuring a safe laboratory environment and responsible waste management. The cost reflects the current market price for this necessary safety infrastructure.</w:t>
      </w:r>
    </w:p>
    <w:p>
      <w:pPr>
        <w:spacing w:after="100"/>
      </w:pPr>
      <w:r>
        <w:t xml:space="preserve">The total request for Equipment is </w:t>
      </w:r>
      <w:r>
        <w:rPr>
          <w:b/>
          <w:bCs/>
        </w:rPr>
        <w:t xml:space="preserve">$21,000</w:t>
      </w:r>
      <w:r>
        <w:t xml:space="preserve"> ($15,000 for BEARUranium 7UY-8JS Paint Enricher, $6,000 for Model UX-8800 Uranium Disposal System).</w:t>
      </w:r>
    </w:p>
    <w:p>
      <w:pPr>
        <w:spacing w:before="280" w:after="120"/>
      </w:pPr>
      <w:r>
        <w:rPr>
          <w:b/>
          <w:bCs/>
          <w:sz w:val="26"/>
          <w:szCs w:val="26"/>
        </w:rPr>
        <w:t xml:space="preserve">E. Travel ($13,700)</w:t>
      </w:r>
    </w:p>
    <w:p>
      <w:pPr>
        <w:spacing w:after="100"/>
      </w:pPr>
      <w:r>
        <w:rPr>
          <w:b/>
          <w:bCs/>
        </w:rPr>
        <w:t xml:space="preserve">Uranium Enrichment Training ($2,100): </w:t>
      </w:r>
      <w:r>
        <w:t xml:space="preserve">Funds are requested for two project team members to travel to Los Alamos, NM, for specialized Uranium Enrichment Training. Costs per person include $600 for airfare, $300 for lodging, and $150 for per diem, totaling $1,050 per traveler to ensure proper handling and safety procedures for the project materials. ($2,100 in Year 1)</w:t>
      </w:r>
    </w:p>
    <w:p>
      <w:pPr>
        <w:spacing w:after="100"/>
      </w:pPr>
      <w:r>
        <w:t xml:space="preserve">Total Domestic Travel: </w:t>
      </w:r>
      <w:r>
        <w:rPr>
          <w:b/>
          <w:bCs/>
        </w:rPr>
        <w:t xml:space="preserve">$2,100</w:t>
      </w:r>
      <w:r>
        <w:t xml:space="preserve"> ($2,100 in Year 1).</w:t>
      </w:r>
    </w:p>
    <w:p>
      <w:pPr>
        <w:spacing w:after="100"/>
      </w:pPr>
      <w:r>
        <w:rPr>
          <w:b/>
          <w:bCs/>
        </w:rPr>
        <w:t xml:space="preserve">Conference Presentations on Findings ($11,600): </w:t>
      </w:r>
      <w:r>
        <w:t xml:space="preserve">Funds are requested for two team members to travel to Rome, Italy, in Year 2 and Year 4 to present research findings at an international materials science conference. Each traveler's costs include $1,500 for airfare, $800 for lodging, and $600 for per diem, totaling $2,900 per person per trip, which is essential for disseminating our results to the global scientific community. ($5,800 in Year 2, $5,800 in Year 4)</w:t>
      </w:r>
    </w:p>
    <w:p>
      <w:pPr>
        <w:spacing w:after="100"/>
      </w:pPr>
      <w:r>
        <w:t xml:space="preserve">All requested international air travel will be booked in strict accordance with the Fly America Act (49 U.S.C. § 40118), utilizing U.S. flag air carriers or compliant Open Skies agreement partner airlines wherever applicable.</w:t>
      </w:r>
    </w:p>
    <w:p>
      <w:pPr>
        <w:spacing w:after="100"/>
      </w:pPr>
      <w:r>
        <w:t xml:space="preserve">Total International Travel: </w:t>
      </w:r>
      <w:r>
        <w:rPr>
          <w:b/>
          <w:bCs/>
        </w:rPr>
        <w:t xml:space="preserve">$11,600</w:t>
      </w:r>
      <w:r>
        <w:t xml:space="preserve"> ($5,800 in Year 2, $5,800 in Year 4).</w:t>
      </w:r>
    </w:p>
    <w:p>
      <w:pPr>
        <w:spacing w:after="100"/>
      </w:pPr>
      <w:r>
        <w:t xml:space="preserve">The total travel request is </w:t>
      </w:r>
      <w:r>
        <w:rPr>
          <w:b/>
          <w:bCs/>
        </w:rPr>
        <w:t xml:space="preserve">$13,700</w:t>
      </w:r>
      <w:r>
        <w:t xml:space="preserve"> for the 5-year period of performance ($2,100 in Year 1, $5,800 in Year 2, $5,800 in Year 4).</w:t>
      </w:r>
    </w:p>
    <w:p>
      <w:pPr>
        <w:spacing w:before="280" w:after="120"/>
      </w:pPr>
      <w:r>
        <w:rPr>
          <w:b/>
          <w:bCs/>
          <w:sz w:val="26"/>
          <w:szCs w:val="26"/>
        </w:rPr>
        <w:t xml:space="preserve">F. Participant Support Costs ($17,600)</w:t>
      </w:r>
    </w:p>
    <w:p>
      <w:pPr>
        <w:spacing w:after="100"/>
      </w:pPr>
      <w:r>
        <w:rPr>
          <w:b/>
          <w:bCs/>
        </w:rPr>
        <w:t xml:space="preserve">Stipends ($2,000): </w:t>
      </w:r>
      <w:r>
        <w:t xml:space="preserve">Stipends are requested for 4 participants to attend a specialized uranium enrichment conference hosted at Piglan University. Each participant will receive a $500 stipend to support their attendance, which is critical for facilitating knowledge exchange regarding the metallurgical bonding mechanics investigated in this study. ($2,000 in Year 2)</w:t>
      </w:r>
    </w:p>
    <w:p>
      <w:pPr>
        <w:spacing w:after="100"/>
      </w:pPr>
      <w:r>
        <w:rPr>
          <w:b/>
          <w:bCs/>
        </w:rPr>
        <w:t xml:space="preserve">Travel ($4,000): </w:t>
      </w:r>
      <w:r>
        <w:t xml:space="preserve">Funding is provided for 5 trainees to travel to Piglan, WY to receive hands-on training during the critical statue enrichment process. The $800 cost per participant covers airfare ($400), lodging ($250), and per diem ($150), ensuring that external researchers can participate directly in field-based training modules. ($4,000 in Year 1)</w:t>
      </w:r>
    </w:p>
    <w:p>
      <w:pPr>
        <w:spacing w:after="100"/>
      </w:pPr>
      <w:r>
        <w:rPr>
          <w:b/>
          <w:bCs/>
        </w:rPr>
        <w:t xml:space="preserve">Subsistence ($3,600): </w:t>
      </w:r>
      <w:r>
        <w:t xml:space="preserve">Subsistence support is requested for 3 visiting external graduate students for a duration of one month each. At a rate of $1,200 per student, these funds cover housing and essential living expenses while they collaborate with our team on the enrichment process and microstructural characterization. ($3,600 in Year 3)</w:t>
      </w:r>
    </w:p>
    <w:p>
      <w:pPr>
        <w:spacing w:after="100"/>
      </w:pPr>
      <w:r>
        <w:rPr>
          <w:b/>
          <w:bCs/>
        </w:rPr>
        <w:t xml:space="preserve">Other ($8,000): </w:t>
      </w:r>
      <w:r>
        <w:t xml:space="preserve">Other participant costs are requested to cover cleanroom instructional kit access charges for 20 public site trainees at a rate of $400 per person. This support allows a broader cohort to safely access specialized training environments, which is essential for fulfilling the project's broader impacts goal of workforce development. ($8,000 in Year 4)</w:t>
      </w:r>
    </w:p>
    <w:p>
      <w:pPr>
        <w:spacing w:after="100"/>
      </w:pPr>
      <w:r>
        <w:t xml:space="preserve">The total request for Participant Support is </w:t>
      </w:r>
      <w:r>
        <w:rPr>
          <w:b/>
          <w:bCs/>
        </w:rPr>
        <w:t xml:space="preserve">$17,600</w:t>
      </w:r>
      <w:r>
        <w:t xml:space="preserve">.</w:t>
      </w:r>
    </w:p>
    <w:p>
      <w:pPr>
        <w:spacing w:before="280" w:after="120"/>
      </w:pPr>
      <w:r>
        <w:rPr>
          <w:b/>
          <w:bCs/>
          <w:sz w:val="26"/>
          <w:szCs w:val="26"/>
        </w:rPr>
        <w:t xml:space="preserve">G. Other Direct Costs ($69,000)</w:t>
      </w:r>
    </w:p>
    <w:p>
      <w:pPr>
        <w:spacing w:before="160" w:after="80"/>
      </w:pPr>
      <w:r>
        <w:rPr>
          <w:b/>
          <w:bCs/>
          <w:sz w:val="24"/>
          <w:szCs w:val="24"/>
        </w:rPr>
        <w:t xml:space="preserve">G.1 Materials and Supplies ($10,000)</w:t>
      </w:r>
    </w:p>
    <w:p>
      <w:pPr>
        <w:spacing w:after="100"/>
      </w:pPr>
      <w:r>
        <w:rPr>
          <w:b/>
          <w:bCs/>
        </w:rPr>
        <w:t xml:space="preserve">Personal Protective Equipment ($10,000): </w:t>
      </w:r>
      <w:r>
        <w:t xml:space="preserve">In Year 2, the project requires 10 high-grade hazmat suits at $1,000 each to ensure the safety of research staff during the experimental handling of uranium-integrated bronze samples. This specialized protective gear is mandatory to meet institutional environmental health and safety standards when working with heavy-metal payloads. ($10,000 in Year 2)</w:t>
      </w:r>
    </w:p>
    <w:p>
      <w:pPr>
        <w:spacing w:before="160" w:after="80"/>
      </w:pPr>
      <w:r>
        <w:rPr>
          <w:b/>
          <w:bCs/>
          <w:sz w:val="24"/>
          <w:szCs w:val="24"/>
        </w:rPr>
        <w:t xml:space="preserve">G.2 Publication Costs / Documentation / Dissemination ($2,000)</w:t>
      </w:r>
    </w:p>
    <w:p>
      <w:pPr>
        <w:spacing w:after="100"/>
      </w:pPr>
      <w:r>
        <w:rPr>
          <w:b/>
          <w:bCs/>
        </w:rPr>
        <w:t xml:space="preserve">Journal Page Charges and Dissemination Fees ($2,000): </w:t>
      </w:r>
      <w:r>
        <w:t xml:space="preserve">Funds in Year 5 are requested to cover open-access fees and page charges for disseminating final project results in peer-reviewed materials science journals. This ensures that our engineering protocols for heavy-metal stabilization are publicly accessible to the structural engineering and historic preservation communities. ($2,000 in Year 5)</w:t>
      </w:r>
    </w:p>
    <w:p>
      <w:pPr>
        <w:spacing w:before="160" w:after="80"/>
      </w:pPr>
      <w:r>
        <w:rPr>
          <w:b/>
          <w:bCs/>
          <w:sz w:val="24"/>
          <w:szCs w:val="24"/>
        </w:rPr>
        <w:t xml:space="preserve">G.3 Consultant Services ($12,000)</w:t>
      </w:r>
    </w:p>
    <w:p>
      <w:pPr>
        <w:spacing w:after="100"/>
      </w:pPr>
      <w:r>
        <w:rPr>
          <w:b/>
          <w:bCs/>
        </w:rPr>
        <w:t xml:space="preserve">Pynk Panthyr ($12,000): </w:t>
      </w:r>
      <w:r>
        <w:t xml:space="preserve">Pynk Panthyr will provide expertise in Uranium evaluation and metallurgical stabilization at a daily rate of $400 for 30 days (30 days × $400/day = $12,000). Pynk Panthyr is an expert in uranium metallurgical evaluation whose guidance is critical to the Phase I safety assessment of the monument substrate. The budget reflects 30 days × $400/day = $12,000. Her extensive background in heavy-metal containment is essential for establishing the baseline safety protocols required before any actual radioactive integration commences. ($12,000 in Year 1)</w:t>
      </w:r>
    </w:p>
    <w:p>
      <w:pPr>
        <w:spacing w:before="160" w:after="80"/>
      </w:pPr>
      <w:r>
        <w:rPr>
          <w:b/>
          <w:bCs/>
          <w:sz w:val="24"/>
          <w:szCs w:val="24"/>
        </w:rPr>
        <w:t xml:space="preserve">G.6 Other ($45,000)</w:t>
      </w:r>
    </w:p>
    <w:p>
      <w:pPr>
        <w:spacing w:after="100"/>
      </w:pPr>
      <w:r>
        <w:rPr>
          <w:b/>
          <w:bCs/>
        </w:rPr>
        <w:t xml:space="preserve">Graduate Student Tuition ($45,000): </w:t>
      </w:r>
      <w:r>
        <w:t xml:space="preserve">Tuition remission is requested for the 5 Graduate Research Assistants involved in the project. This is a mandatory institutional expense for students supporting high-level research activities throughout the lifecycle of the grant, specifically covering their involvement in mechanical stress testing and data collection activities during Years 3, 4, and 5. ($15,000 in Year 3, $15,000 in Year 4, $15,000 in Year 5)</w:t>
      </w:r>
    </w:p>
    <w:p>
      <w:pPr>
        <w:spacing w:after="100"/>
      </w:pPr>
      <w:r>
        <w:t xml:space="preserve">The total request for Other Direct Costs is </w:t>
      </w:r>
      <w:r>
        <w:rPr>
          <w:b/>
          <w:bCs/>
        </w:rPr>
        <w:t xml:space="preserve">$69,000</w:t>
      </w:r>
      <w:r>
        <w:t xml:space="preserve"> ($12,000 in Year 1, $10,000 in Year 2, $15,000 in Year 3, $15,000 in Year 4, $17,000 in Year 5).</w:t>
      </w:r>
    </w:p>
    <w:p>
      <w:pPr>
        <w:spacing w:before="280" w:after="120"/>
      </w:pPr>
      <w:r>
        <w:rPr>
          <w:b/>
          <w:bCs/>
          <w:sz w:val="26"/>
          <w:szCs w:val="26"/>
        </w:rPr>
        <w:t xml:space="preserve">I. Indirect Costs (Facilities and Administrative Costs) ($430,292)</w:t>
      </w:r>
    </w:p>
    <w:p>
      <w:pPr>
        <w:spacing w:after="100"/>
      </w:pPr>
      <w:r>
        <w:t xml:space="preserve">Indirect costs are calculated at the federally negotiated rate of 24% of salaries, wages, and benefits, as established in the agreement with the Department of Health and Human Services (DHHS) renewed on January 1, 2026. ($81,756 in Year 1, $83,844 in Year 2, $85,994 in Year 3, $88,209 in Year 4, $90,490 in Year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2026-06-17T18:04:16.354Z</dcterms:created>
  <dcterms:modified xsi:type="dcterms:W3CDTF">2026-06-17T18:04:16.355Z</dcterms:modified>
</cp:coreProperties>
</file>

<file path=docProps/custom.xml><?xml version="1.0" encoding="utf-8"?>
<Properties xmlns="http://schemas.openxmlformats.org/officeDocument/2006/custom-properties" xmlns:vt="http://schemas.openxmlformats.org/officeDocument/2006/docPropsVTypes"/>
</file>