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0A95" w14:textId="7B6E42E3" w:rsidR="008A0827" w:rsidRPr="008A0827" w:rsidRDefault="008A0827" w:rsidP="00537306">
      <w:pPr>
        <w:spacing w:before="100" w:beforeAutospacing="1" w:after="100" w:afterAutospacing="1" w:line="300" w:lineRule="atLeast"/>
        <w:jc w:val="center"/>
        <w:outlineLvl w:val="0"/>
        <w:rPr>
          <w:rFonts w:ascii="Segoe UI" w:eastAsia="Times New Roman" w:hAnsi="Segoe UI" w:cs="Segoe UI"/>
          <w:b/>
          <w:bCs/>
          <w:kern w:val="36"/>
          <w:sz w:val="48"/>
          <w:szCs w:val="48"/>
          <w14:ligatures w14:val="none"/>
        </w:rPr>
      </w:pPr>
      <w:r w:rsidRPr="008A0827">
        <w:rPr>
          <w:rFonts w:ascii="Segoe UI" w:eastAsia="Times New Roman" w:hAnsi="Segoe UI" w:cs="Segoe UI"/>
          <w:b/>
          <w:bCs/>
          <w:kern w:val="36"/>
          <w:sz w:val="48"/>
          <w:szCs w:val="48"/>
          <w14:ligatures w14:val="none"/>
        </w:rPr>
        <w:t>Thomson Reuters Transformation Readiness</w:t>
      </w:r>
    </w:p>
    <w:p w14:paraId="3708C7A7" w14:textId="77777777" w:rsidR="008A0827" w:rsidRPr="008A0827" w:rsidRDefault="008A0827" w:rsidP="008A082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8A0827">
        <w:rPr>
          <w:rFonts w:ascii="Segoe UI" w:eastAsia="Times New Roman" w:hAnsi="Segoe UI" w:cs="Segoe UI"/>
          <w:b/>
          <w:bCs/>
          <w:kern w:val="0"/>
          <w:sz w:val="36"/>
          <w:szCs w:val="36"/>
          <w14:ligatures w14:val="none"/>
        </w:rPr>
        <w:t>Executive Summary</w:t>
      </w:r>
    </w:p>
    <w:p w14:paraId="66E01D1E"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Thomson Reuters is positioned as a content-driven technology company with a strong foundation for end-to-end business function reimagination.</w:t>
      </w:r>
      <w:r w:rsidRPr="008A0827">
        <w:rPr>
          <w:rFonts w:ascii="Segoe UI" w:eastAsia="Times New Roman" w:hAnsi="Segoe UI" w:cs="Segoe UI"/>
          <w:kern w:val="0"/>
          <w:sz w:val="21"/>
          <w:szCs w:val="21"/>
          <w14:ligatures w14:val="none"/>
        </w:rPr>
        <w:t xml:space="preserve"> In recent years, the company completed a major </w:t>
      </w:r>
      <w:r w:rsidRPr="008A0827">
        <w:rPr>
          <w:rFonts w:ascii="Segoe UI" w:eastAsia="Times New Roman" w:hAnsi="Segoe UI" w:cs="Segoe UI"/>
          <w:b/>
          <w:bCs/>
          <w:kern w:val="0"/>
          <w:sz w:val="21"/>
          <w:szCs w:val="21"/>
          <w14:ligatures w14:val="none"/>
        </w:rPr>
        <w:t>Change Program (2021–2022)</w:t>
      </w:r>
      <w:r w:rsidRPr="008A0827">
        <w:rPr>
          <w:rFonts w:ascii="Segoe UI" w:eastAsia="Times New Roman" w:hAnsi="Segoe UI" w:cs="Segoe UI"/>
          <w:kern w:val="0"/>
          <w:sz w:val="21"/>
          <w:szCs w:val="21"/>
          <w14:ligatures w14:val="none"/>
        </w:rPr>
        <w:t xml:space="preserve"> that transformed it from a decentralized holding company into an integrated operating company</w:t>
      </w:r>
      <w:hyperlink r:id="rId8"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This initiative streamlined organizational structure around the “Big 3” customer segments (Legal Professionals, Corporates, Tax &amp; Accounting) and laid the groundwork for enterprise-wide agility. </w:t>
      </w:r>
      <w:r w:rsidRPr="008A0827">
        <w:rPr>
          <w:rFonts w:ascii="Segoe UI" w:eastAsia="Times New Roman" w:hAnsi="Segoe UI" w:cs="Segoe UI"/>
          <w:b/>
          <w:bCs/>
          <w:kern w:val="0"/>
          <w:sz w:val="21"/>
          <w:szCs w:val="21"/>
          <w14:ligatures w14:val="none"/>
        </w:rPr>
        <w:t>Today, approximately 81% of revenues come from these Big 3 segments,</w:t>
      </w:r>
      <w:r w:rsidRPr="008A0827">
        <w:rPr>
          <w:rFonts w:ascii="Segoe UI" w:eastAsia="Times New Roman" w:hAnsi="Segoe UI" w:cs="Segoe UI"/>
          <w:kern w:val="0"/>
          <w:sz w:val="21"/>
          <w:szCs w:val="21"/>
          <w14:ligatures w14:val="none"/>
        </w:rPr>
        <w:t xml:space="preserve"> reflecting a focused business model</w:t>
      </w:r>
      <w:hyperlink r:id="rId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The company’s value proposition has evolved beyond providing information toward delivering integrated solutions that combine trusted content with software and automation, aligning with its strategy to become the </w:t>
      </w:r>
      <w:r w:rsidRPr="008A0827">
        <w:rPr>
          <w:rFonts w:ascii="Segoe UI" w:eastAsia="Times New Roman" w:hAnsi="Segoe UI" w:cs="Segoe UI"/>
          <w:b/>
          <w:bCs/>
          <w:kern w:val="0"/>
          <w:sz w:val="21"/>
          <w:szCs w:val="21"/>
          <w14:ligatures w14:val="none"/>
        </w:rPr>
        <w:t>world’s leading content-driven technology company</w:t>
      </w:r>
      <w:hyperlink r:id="rId10" w:history="1">
        <w:r w:rsidRPr="008A0827">
          <w:rPr>
            <w:rFonts w:ascii="Segoe UI" w:eastAsia="Times New Roman" w:hAnsi="Segoe UI" w:cs="Segoe UI"/>
            <w:color w:val="464FEB"/>
            <w:kern w:val="0"/>
            <w:sz w:val="21"/>
            <w:szCs w:val="21"/>
            <w14:ligatures w14:val="none"/>
          </w:rPr>
          <w:t>[1]</w:t>
        </w:r>
      </w:hyperlink>
      <w:hyperlink r:id="rId11"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w:t>
      </w:r>
    </w:p>
    <w:p w14:paraId="3ECA04BB"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is bolstered by an enterprise-wide embrace of digitalization and AI,</w:t>
      </w:r>
      <w:r w:rsidRPr="008A0827">
        <w:rPr>
          <w:rFonts w:ascii="Segoe UI" w:eastAsia="Times New Roman" w:hAnsi="Segoe UI" w:cs="Segoe UI"/>
          <w:kern w:val="0"/>
          <w:sz w:val="21"/>
          <w:szCs w:val="21"/>
          <w14:ligatures w14:val="none"/>
        </w:rPr>
        <w:t xml:space="preserve"> supported by significant investments in technology modernization and talent development. Thomson Reuters has aggressively pursued cloud migration and platform consolidation, exiting legacy data centers and shifting flagship products to cloud-based offerings</w:t>
      </w:r>
      <w:hyperlink r:id="rId12" w:history="1">
        <w:r w:rsidRPr="008A0827">
          <w:rPr>
            <w:rFonts w:ascii="Segoe UI" w:eastAsia="Times New Roman" w:hAnsi="Segoe UI" w:cs="Segoe UI"/>
            <w:color w:val="464FEB"/>
            <w:kern w:val="0"/>
            <w:sz w:val="21"/>
            <w:szCs w:val="21"/>
            <w14:ligatures w14:val="none"/>
          </w:rPr>
          <w:t>[1]</w:t>
        </w:r>
      </w:hyperlink>
      <w:hyperlink r:id="rId13"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It has also </w:t>
      </w:r>
      <w:r w:rsidRPr="008A0827">
        <w:rPr>
          <w:rFonts w:ascii="Segoe UI" w:eastAsia="Times New Roman" w:hAnsi="Segoe UI" w:cs="Segoe UI"/>
          <w:b/>
          <w:bCs/>
          <w:kern w:val="0"/>
          <w:sz w:val="21"/>
          <w:szCs w:val="21"/>
          <w14:ligatures w14:val="none"/>
        </w:rPr>
        <w:t>scaled up its AI capabilities</w:t>
      </w:r>
      <w:r w:rsidRPr="008A0827">
        <w:rPr>
          <w:rFonts w:ascii="Segoe UI" w:eastAsia="Times New Roman" w:hAnsi="Segoe UI" w:cs="Segoe UI"/>
          <w:kern w:val="0"/>
          <w:sz w:val="21"/>
          <w:szCs w:val="21"/>
          <w14:ligatures w14:val="none"/>
        </w:rPr>
        <w:t xml:space="preserve"> through </w:t>
      </w:r>
      <w:r w:rsidRPr="008A0827">
        <w:rPr>
          <w:rFonts w:ascii="Segoe UI" w:eastAsia="Times New Roman" w:hAnsi="Segoe UI" w:cs="Segoe UI"/>
          <w:b/>
          <w:bCs/>
          <w:kern w:val="0"/>
          <w:sz w:val="21"/>
          <w:szCs w:val="21"/>
          <w14:ligatures w14:val="none"/>
        </w:rPr>
        <w:t>Thomson Reuters Labs</w:t>
      </w:r>
      <w:r w:rsidRPr="008A0827">
        <w:rPr>
          <w:rFonts w:ascii="Segoe UI" w:eastAsia="Times New Roman" w:hAnsi="Segoe UI" w:cs="Segoe UI"/>
          <w:kern w:val="0"/>
          <w:sz w:val="21"/>
          <w:szCs w:val="21"/>
          <w14:ligatures w14:val="none"/>
        </w:rPr>
        <w:t>, a dedicated R\&amp;D division that has spearheaded applied AI and machine learning for over 30 years</w:t>
      </w:r>
      <w:hyperlink r:id="rId14"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At the product level, the company introduced </w:t>
      </w:r>
      <w:r w:rsidRPr="008A0827">
        <w:rPr>
          <w:rFonts w:ascii="Segoe UI" w:eastAsia="Times New Roman" w:hAnsi="Segoe UI" w:cs="Segoe UI"/>
          <w:b/>
          <w:bCs/>
          <w:kern w:val="0"/>
          <w:sz w:val="21"/>
          <w:szCs w:val="21"/>
          <w14:ligatures w14:val="none"/>
        </w:rPr>
        <w:t>AI-enabled solutions</w:t>
      </w:r>
      <w:r w:rsidRPr="008A0827">
        <w:rPr>
          <w:rFonts w:ascii="Segoe UI" w:eastAsia="Times New Roman" w:hAnsi="Segoe UI" w:cs="Segoe UI"/>
          <w:kern w:val="0"/>
          <w:sz w:val="21"/>
          <w:szCs w:val="21"/>
          <w14:ligatures w14:val="none"/>
        </w:rPr>
        <w:t xml:space="preserve"> such as Westlaw Precision with AI-assisted research and the </w:t>
      </w:r>
      <w:proofErr w:type="spellStart"/>
      <w:r w:rsidRPr="008A0827">
        <w:rPr>
          <w:rFonts w:ascii="Segoe UI" w:eastAsia="Times New Roman" w:hAnsi="Segoe UI" w:cs="Segoe UI"/>
          <w:kern w:val="0"/>
          <w:sz w:val="21"/>
          <w:szCs w:val="21"/>
          <w14:ligatures w14:val="none"/>
        </w:rPr>
        <w:t>CoCounsel</w:t>
      </w:r>
      <w:proofErr w:type="spellEnd"/>
      <w:r w:rsidRPr="008A0827">
        <w:rPr>
          <w:rFonts w:ascii="Segoe UI" w:eastAsia="Times New Roman" w:hAnsi="Segoe UI" w:cs="Segoe UI"/>
          <w:kern w:val="0"/>
          <w:sz w:val="21"/>
          <w:szCs w:val="21"/>
          <w14:ligatures w14:val="none"/>
        </w:rPr>
        <w:t xml:space="preserve"> AI assistant for lawyers</w:t>
      </w:r>
      <w:hyperlink r:id="rId15"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Internally, a cultural shift is underway to ensure employees have the skills and mindset for an AI-enabled future. Over </w:t>
      </w:r>
      <w:r w:rsidRPr="008A0827">
        <w:rPr>
          <w:rFonts w:ascii="Segoe UI" w:eastAsia="Times New Roman" w:hAnsi="Segoe UI" w:cs="Segoe UI"/>
          <w:b/>
          <w:bCs/>
          <w:kern w:val="0"/>
          <w:sz w:val="21"/>
          <w:szCs w:val="21"/>
          <w14:ligatures w14:val="none"/>
        </w:rPr>
        <w:t>11,000 of its ~26,000 employees</w:t>
      </w:r>
      <w:r w:rsidRPr="008A0827">
        <w:rPr>
          <w:rFonts w:ascii="Segoe UI" w:eastAsia="Times New Roman" w:hAnsi="Segoe UI" w:cs="Segoe UI"/>
          <w:kern w:val="0"/>
          <w:sz w:val="21"/>
          <w:szCs w:val="21"/>
          <w14:ligatures w14:val="none"/>
        </w:rPr>
        <w:t xml:space="preserve"> (≈42%) have completed the internal “AI Foundations” training course, and nearly half of all employees were actively using generative AI tools as of August 2024</w:t>
      </w:r>
      <w:hyperlink r:id="rId16" w:history="1">
        <w:r w:rsidRPr="008A0827">
          <w:rPr>
            <w:rFonts w:ascii="Segoe UI" w:eastAsia="Times New Roman" w:hAnsi="Segoe UI" w:cs="Segoe UI"/>
            <w:color w:val="464FEB"/>
            <w:kern w:val="0"/>
            <w:sz w:val="21"/>
            <w:szCs w:val="21"/>
            <w14:ligatures w14:val="none"/>
          </w:rPr>
          <w:t>[2]</w:t>
        </w:r>
      </w:hyperlink>
      <w:hyperlink r:id="rId17"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This reflects a top-down mandate on AI adoption, with leadership signaling that those who do not adapt “will be left behind” – underscoring the company’s commitment to embedding AI in both customer solutions and daily operations</w:t>
      </w:r>
      <w:hyperlink r:id="rId18" w:history="1">
        <w:r w:rsidRPr="008A0827">
          <w:rPr>
            <w:rFonts w:ascii="Segoe UI" w:eastAsia="Times New Roman" w:hAnsi="Segoe UI" w:cs="Segoe UI"/>
            <w:color w:val="464FEB"/>
            <w:kern w:val="0"/>
            <w:sz w:val="21"/>
            <w:szCs w:val="21"/>
            <w14:ligatures w14:val="none"/>
          </w:rPr>
          <w:t>[2]</w:t>
        </w:r>
      </w:hyperlink>
      <w:hyperlink r:id="rId19"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w:t>
      </w:r>
    </w:p>
    <w:p w14:paraId="672444EF"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Despite these strengths, some challenges remain in Thomson Reuters’ transformation journey.</w:t>
      </w:r>
      <w:r w:rsidRPr="008A0827">
        <w:rPr>
          <w:rFonts w:ascii="Segoe UI" w:eastAsia="Times New Roman" w:hAnsi="Segoe UI" w:cs="Segoe UI"/>
          <w:kern w:val="0"/>
          <w:sz w:val="21"/>
          <w:szCs w:val="21"/>
          <w14:ligatures w14:val="none"/>
        </w:rPr>
        <w:t xml:space="preserve"> The legacy of past complexity – such as a historically vast product catalog (~62,000 SKUs) and numerous disjointed systems and websites – required significant simplification</w:t>
      </w:r>
      <w:hyperlink r:id="rId20" w:history="1">
        <w:r w:rsidRPr="008A0827">
          <w:rPr>
            <w:rFonts w:ascii="Segoe UI" w:eastAsia="Times New Roman" w:hAnsi="Segoe UI" w:cs="Segoe UI"/>
            <w:color w:val="464FEB"/>
            <w:kern w:val="0"/>
            <w:sz w:val="21"/>
            <w:szCs w:val="21"/>
            <w14:ligatures w14:val="none"/>
          </w:rPr>
          <w:t>[3]</w:t>
        </w:r>
      </w:hyperlink>
      <w:r w:rsidRPr="008A0827">
        <w:rPr>
          <w:rFonts w:ascii="Segoe UI" w:eastAsia="Times New Roman" w:hAnsi="Segoe UI" w:cs="Segoe UI"/>
          <w:kern w:val="0"/>
          <w:sz w:val="21"/>
          <w:szCs w:val="21"/>
          <w14:ligatures w14:val="none"/>
        </w:rPr>
        <w:t xml:space="preserve">. The Change Program has addressed many of these issues (for instance, reducing duplicative platforms and improving data sharing), but </w:t>
      </w:r>
      <w:r w:rsidRPr="008A0827">
        <w:rPr>
          <w:rFonts w:ascii="Segoe UI" w:eastAsia="Times New Roman" w:hAnsi="Segoe UI" w:cs="Segoe UI"/>
          <w:b/>
          <w:bCs/>
          <w:kern w:val="0"/>
          <w:sz w:val="21"/>
          <w:szCs w:val="21"/>
          <w14:ligatures w14:val="none"/>
        </w:rPr>
        <w:t>continued process optimization</w:t>
      </w:r>
      <w:r w:rsidRPr="008A0827">
        <w:rPr>
          <w:rFonts w:ascii="Segoe UI" w:eastAsia="Times New Roman" w:hAnsi="Segoe UI" w:cs="Segoe UI"/>
          <w:kern w:val="0"/>
          <w:sz w:val="21"/>
          <w:szCs w:val="21"/>
          <w14:ligatures w14:val="none"/>
        </w:rPr>
        <w:t xml:space="preserve"> is needed to eliminate residual inefficiencies. The company’s </w:t>
      </w:r>
      <w:r w:rsidRPr="008A0827">
        <w:rPr>
          <w:rFonts w:ascii="Segoe UI" w:eastAsia="Times New Roman" w:hAnsi="Segoe UI" w:cs="Segoe UI"/>
          <w:b/>
          <w:bCs/>
          <w:kern w:val="0"/>
          <w:sz w:val="21"/>
          <w:szCs w:val="21"/>
          <w14:ligatures w14:val="none"/>
        </w:rPr>
        <w:t>organizational culture is adapting</w:t>
      </w:r>
      <w:r w:rsidRPr="008A0827">
        <w:rPr>
          <w:rFonts w:ascii="Segoe UI" w:eastAsia="Times New Roman" w:hAnsi="Segoe UI" w:cs="Segoe UI"/>
          <w:kern w:val="0"/>
          <w:sz w:val="21"/>
          <w:szCs w:val="21"/>
          <w14:ligatures w14:val="none"/>
        </w:rPr>
        <w:t xml:space="preserve"> to a more agile, collaborative approach; however, sustaining engagement and managing change fatigue are ongoing tasks. Moreover, </w:t>
      </w:r>
      <w:r w:rsidRPr="008A0827">
        <w:rPr>
          <w:rFonts w:ascii="Segoe UI" w:eastAsia="Times New Roman" w:hAnsi="Segoe UI" w:cs="Segoe UI"/>
          <w:b/>
          <w:bCs/>
          <w:kern w:val="0"/>
          <w:sz w:val="21"/>
          <w:szCs w:val="21"/>
          <w14:ligatures w14:val="none"/>
        </w:rPr>
        <w:t>market pressures demand acceleration</w:t>
      </w:r>
      <w:r w:rsidRPr="008A0827">
        <w:rPr>
          <w:rFonts w:ascii="Segoe UI" w:eastAsia="Times New Roman" w:hAnsi="Segoe UI" w:cs="Segoe UI"/>
          <w:kern w:val="0"/>
          <w:sz w:val="21"/>
          <w:szCs w:val="21"/>
          <w14:ligatures w14:val="none"/>
        </w:rPr>
        <w:t xml:space="preserve">: competitors and emerging tech players are rapidly introducing AI-driven offerings, pushing Thomson Reuters to </w:t>
      </w:r>
      <w:r w:rsidRPr="008A0827">
        <w:rPr>
          <w:rFonts w:ascii="Segoe UI" w:eastAsia="Times New Roman" w:hAnsi="Segoe UI" w:cs="Segoe UI"/>
          <w:b/>
          <w:bCs/>
          <w:kern w:val="0"/>
          <w:sz w:val="21"/>
          <w:szCs w:val="21"/>
          <w14:ligatures w14:val="none"/>
        </w:rPr>
        <w:t>innovate quickly while maintaining the trust</w:t>
      </w:r>
      <w:r w:rsidRPr="008A0827">
        <w:rPr>
          <w:rFonts w:ascii="Segoe UI" w:eastAsia="Times New Roman" w:hAnsi="Segoe UI" w:cs="Segoe UI"/>
          <w:kern w:val="0"/>
          <w:sz w:val="21"/>
          <w:szCs w:val="21"/>
          <w14:ligatures w14:val="none"/>
        </w:rPr>
        <w:t xml:space="preserve"> it’s known for</w:t>
      </w:r>
      <w:hyperlink r:id="rId21" w:history="1">
        <w:r w:rsidRPr="008A0827">
          <w:rPr>
            <w:rFonts w:ascii="Segoe UI" w:eastAsia="Times New Roman" w:hAnsi="Segoe UI" w:cs="Segoe UI"/>
            <w:color w:val="464FEB"/>
            <w:kern w:val="0"/>
            <w:sz w:val="21"/>
            <w:szCs w:val="21"/>
            <w14:ligatures w14:val="none"/>
          </w:rPr>
          <w:t>[1]</w:t>
        </w:r>
      </w:hyperlink>
      <w:hyperlink r:id="rId22"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Balancing speedy transformation with responsible governance (especially AI ethics and data privacy) will be critical to success.</w:t>
      </w:r>
    </w:p>
    <w:p w14:paraId="75757E35"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Overall, Thomson Reuters demonstrates a high level of transformation readiness (estimated maturity ~4 out of 5).</w:t>
      </w:r>
      <w:r w:rsidRPr="008A0827">
        <w:rPr>
          <w:rFonts w:ascii="Segoe UI" w:eastAsia="Times New Roman" w:hAnsi="Segoe UI" w:cs="Segoe UI"/>
          <w:kern w:val="0"/>
          <w:sz w:val="21"/>
          <w:szCs w:val="21"/>
          <w14:ligatures w14:val="none"/>
        </w:rPr>
        <w:t xml:space="preserve"> It has </w:t>
      </w:r>
      <w:r w:rsidRPr="008A0827">
        <w:rPr>
          <w:rFonts w:ascii="Segoe UI" w:eastAsia="Times New Roman" w:hAnsi="Segoe UI" w:cs="Segoe UI"/>
          <w:b/>
          <w:bCs/>
          <w:kern w:val="0"/>
          <w:sz w:val="21"/>
          <w:szCs w:val="21"/>
          <w14:ligatures w14:val="none"/>
        </w:rPr>
        <w:t>clear strategic vision</w:t>
      </w:r>
      <w:r w:rsidRPr="008A0827">
        <w:rPr>
          <w:rFonts w:ascii="Segoe UI" w:eastAsia="Times New Roman" w:hAnsi="Segoe UI" w:cs="Segoe UI"/>
          <w:kern w:val="0"/>
          <w:sz w:val="21"/>
          <w:szCs w:val="21"/>
          <w14:ligatures w14:val="none"/>
        </w:rPr>
        <w:t xml:space="preserve"> from leadership, substantial investment capacity (2023 free cash flow of $1.9B provides funding for innovation</w:t>
      </w:r>
      <w:hyperlink r:id="rId23"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and proven change management prowess via accomplished programs. The company’s strengths – a reputable brand, rich domain expertise, loyal customer base, and growing technological acumen – provide a strong platform for reimagining business functions end-to-end. </w:t>
      </w:r>
      <w:r w:rsidRPr="008A0827">
        <w:rPr>
          <w:rFonts w:ascii="Segoe UI" w:eastAsia="Times New Roman" w:hAnsi="Segoe UI" w:cs="Segoe UI"/>
          <w:b/>
          <w:bCs/>
          <w:kern w:val="0"/>
          <w:sz w:val="21"/>
          <w:szCs w:val="21"/>
          <w14:ligatures w14:val="none"/>
        </w:rPr>
        <w:t>AI is positioned as a key enabler rather than a silver bullet</w:t>
      </w:r>
      <w:r w:rsidRPr="008A0827">
        <w:rPr>
          <w:rFonts w:ascii="Segoe UI" w:eastAsia="Times New Roman" w:hAnsi="Segoe UI" w:cs="Segoe UI"/>
          <w:kern w:val="0"/>
          <w:sz w:val="21"/>
          <w:szCs w:val="21"/>
          <w14:ligatures w14:val="none"/>
        </w:rPr>
        <w:t>, complementing process re-engineering, organizational redesign, and customer-centric improvements. With continued focus on cross-functional synergies and disciplined execution, Thomson Reuters is on track to set a benchmark for transformation in the professional information services industry. The following analysis delves into each dimension of this transformation readiness, providing detailed findings, evidence, and opportunities for the journey ahead.</w:t>
      </w:r>
    </w:p>
    <w:p w14:paraId="37779AFC" w14:textId="4EE82AEA" w:rsidR="008A0827" w:rsidRPr="008A0827" w:rsidRDefault="008A0827" w:rsidP="008A0827">
      <w:pPr>
        <w:spacing w:after="0" w:line="300" w:lineRule="atLeast"/>
        <w:rPr>
          <w:rFonts w:ascii="Segoe UI" w:eastAsia="Times New Roman" w:hAnsi="Segoe UI" w:cs="Segoe UI"/>
          <w:kern w:val="0"/>
          <w:sz w:val="21"/>
          <w:szCs w:val="21"/>
          <w14:ligatures w14:val="none"/>
        </w:rPr>
      </w:pPr>
      <w:r w:rsidRPr="008A0827">
        <w:rPr>
          <w:rFonts w:ascii="Segoe UI" w:eastAsia="Times New Roman" w:hAnsi="Segoe UI" w:cs="Segoe UI"/>
          <w:noProof/>
          <w:kern w:val="0"/>
          <w:sz w:val="21"/>
          <w:szCs w:val="21"/>
          <w14:ligatures w14:val="none"/>
        </w:rPr>
        <w:lastRenderedPageBreak/>
        <w:drawing>
          <wp:inline distT="0" distB="0" distL="0" distR="0" wp14:anchorId="129D4489" wp14:editId="797F910E">
            <wp:extent cx="5731510" cy="5559425"/>
            <wp:effectExtent l="0" t="0" r="0" b="3175"/>
            <wp:docPr id="4555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559425"/>
                    </a:xfrm>
                    <a:prstGeom prst="rect">
                      <a:avLst/>
                    </a:prstGeom>
                    <a:noFill/>
                    <a:ln>
                      <a:noFill/>
                    </a:ln>
                  </pic:spPr>
                </pic:pic>
              </a:graphicData>
            </a:graphic>
          </wp:inline>
        </w:drawing>
      </w:r>
    </w:p>
    <w:p w14:paraId="02818666" w14:textId="77777777" w:rsidR="008A0827" w:rsidRPr="008A0827" w:rsidRDefault="00AF5BFA" w:rsidP="008A0827">
      <w:pPr>
        <w:spacing w:after="0" w:line="300" w:lineRule="atLeast"/>
        <w:rPr>
          <w:rFonts w:ascii="Segoe UI" w:eastAsia="Times New Roman" w:hAnsi="Segoe UI" w:cs="Segoe UI"/>
          <w:kern w:val="0"/>
          <w:sz w:val="21"/>
          <w:szCs w:val="21"/>
          <w14:ligatures w14:val="none"/>
        </w:rPr>
      </w:pPr>
      <w:r>
        <w:rPr>
          <w:noProof/>
        </w:rPr>
      </w:r>
      <w:r w:rsidR="00AF5BFA">
        <w:rPr>
          <w:noProof/>
        </w:rPr>
        <w:pict w14:anchorId="4855DF88">
          <v:rect id="Rectangle 6" o:spid="_x0000_s1042"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0DAA28" w14:textId="77777777" w:rsidR="008A0827" w:rsidRPr="008A0827" w:rsidRDefault="008A0827" w:rsidP="008A082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8A0827">
        <w:rPr>
          <w:rFonts w:ascii="Segoe UI" w:eastAsia="Times New Roman" w:hAnsi="Segoe UI" w:cs="Segoe UI"/>
          <w:b/>
          <w:bCs/>
          <w:kern w:val="0"/>
          <w:sz w:val="36"/>
          <w:szCs w:val="36"/>
          <w14:ligatures w14:val="none"/>
        </w:rPr>
        <w:t>CORPORATE IDENTITY &amp; STRATEGIC TRANSFORMATION FOUNDATION</w:t>
      </w:r>
    </w:p>
    <w:p w14:paraId="2D4595BB"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Assessment:</w:t>
      </w:r>
      <w:r w:rsidRPr="008A0827">
        <w:rPr>
          <w:rFonts w:ascii="Segoe UI" w:eastAsia="Times New Roman" w:hAnsi="Segoe UI" w:cs="Segoe UI"/>
          <w:kern w:val="0"/>
          <w:sz w:val="21"/>
          <w:szCs w:val="21"/>
          <w14:ligatures w14:val="none"/>
        </w:rPr>
        <w:t xml:space="preserve"> Thomson Reuters’ corporate identity and strategic foundation for transformation are highly mature (Rating: </w:t>
      </w:r>
      <w:r w:rsidRPr="008A0827">
        <w:rPr>
          <w:rFonts w:ascii="Segoe UI" w:eastAsia="Times New Roman" w:hAnsi="Segoe UI" w:cs="Segoe UI"/>
          <w:b/>
          <w:bCs/>
          <w:kern w:val="0"/>
          <w:sz w:val="21"/>
          <w:szCs w:val="21"/>
          <w14:ligatures w14:val="none"/>
        </w:rPr>
        <w:t>4/5</w:t>
      </w:r>
      <w:r w:rsidRPr="008A0827">
        <w:rPr>
          <w:rFonts w:ascii="Segoe UI" w:eastAsia="Times New Roman" w:hAnsi="Segoe UI" w:cs="Segoe UI"/>
          <w:kern w:val="0"/>
          <w:sz w:val="21"/>
          <w:szCs w:val="21"/>
          <w14:ligatures w14:val="none"/>
        </w:rPr>
        <w:t xml:space="preserve">). The company has a clear vision set by top leadership to evolve into a </w:t>
      </w:r>
      <w:r w:rsidRPr="008A0827">
        <w:rPr>
          <w:rFonts w:ascii="Segoe UI" w:eastAsia="Times New Roman" w:hAnsi="Segoe UI" w:cs="Segoe UI"/>
          <w:b/>
          <w:bCs/>
          <w:kern w:val="0"/>
          <w:sz w:val="21"/>
          <w:szCs w:val="21"/>
          <w14:ligatures w14:val="none"/>
        </w:rPr>
        <w:t>“content-driven technology company”</w:t>
      </w:r>
      <w:r w:rsidRPr="008A0827">
        <w:rPr>
          <w:rFonts w:ascii="Segoe UI" w:eastAsia="Times New Roman" w:hAnsi="Segoe UI" w:cs="Segoe UI"/>
          <w:kern w:val="0"/>
          <w:sz w:val="21"/>
          <w:szCs w:val="21"/>
          <w14:ligatures w14:val="none"/>
        </w:rPr>
        <w:t xml:space="preserve"> – a goal reinforced by CEO Steve Hasker and the executive team</w:t>
      </w:r>
      <w:hyperlink r:id="rId25"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The completion of the Change Program demonstrates strong execution capabilities in organizational transformation</w:t>
      </w:r>
      <w:hyperlink r:id="rId26"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This foundation is buttressed by well-defined governance structures: a centralized Operations &amp; Technology function now underpins company-wide strategy execution</w:t>
      </w:r>
      <w:hyperlink r:id="rId27"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While overall readiness is strong, there remains room to further solidify cross-business unity and ensure that all levels of the organization internalize the transformation vision (hence not a full 5/5).</w:t>
      </w:r>
    </w:p>
    <w:p w14:paraId="618DDF34"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Key Internal Findings:</w:t>
      </w:r>
      <w:r w:rsidRPr="008A0827">
        <w:rPr>
          <w:rFonts w:ascii="Segoe UI" w:eastAsia="Times New Roman" w:hAnsi="Segoe UI" w:cs="Segoe UI"/>
          <w:kern w:val="0"/>
          <w:sz w:val="21"/>
          <w:szCs w:val="21"/>
          <w14:ligatures w14:val="none"/>
        </w:rPr>
        <w:t xml:space="preserve"> Thomson Reuters’ identity has historically been rooted in authoritative content (law, tax, news) and trusted expertise. In recent years, it consciously reframed its identity towards innovation and agility. Internally, the Change Program (2021–2022) was a pivotal initiative, shifting Thomson Reuters from a holding company of semi-autonomous businesses into a unified operating company</w:t>
      </w:r>
      <w:hyperlink r:id="rId28"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This resulted in consolidation of previously siloed teams and processes, especially across the </w:t>
      </w:r>
      <w:r w:rsidRPr="008A0827">
        <w:rPr>
          <w:rFonts w:ascii="Segoe UI" w:eastAsia="Times New Roman" w:hAnsi="Segoe UI" w:cs="Segoe UI"/>
          <w:b/>
          <w:bCs/>
          <w:kern w:val="0"/>
          <w:sz w:val="21"/>
          <w:szCs w:val="21"/>
          <w14:ligatures w14:val="none"/>
        </w:rPr>
        <w:t>Big 3 segments (Legal Professionals, Corporates, Tax &amp; Accounting)</w:t>
      </w:r>
      <w:hyperlink r:id="rId2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Governance now emphasizes a </w:t>
      </w:r>
      <w:r w:rsidRPr="008A0827">
        <w:rPr>
          <w:rFonts w:ascii="Segoe UI" w:eastAsia="Times New Roman" w:hAnsi="Segoe UI" w:cs="Segoe UI"/>
          <w:b/>
          <w:bCs/>
          <w:kern w:val="0"/>
          <w:sz w:val="21"/>
          <w:szCs w:val="21"/>
          <w14:ligatures w14:val="none"/>
        </w:rPr>
        <w:t>group-wide approach</w:t>
      </w:r>
      <w:r w:rsidRPr="008A0827">
        <w:rPr>
          <w:rFonts w:ascii="Segoe UI" w:eastAsia="Times New Roman" w:hAnsi="Segoe UI" w:cs="Segoe UI"/>
          <w:kern w:val="0"/>
          <w:sz w:val="21"/>
          <w:szCs w:val="21"/>
          <w14:ligatures w14:val="none"/>
        </w:rPr>
        <w:t>: the Corporate Center centrally manages critical functions (technology, finance, HR, etc.) to drive consistency</w:t>
      </w:r>
      <w:hyperlink r:id="rId30"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The cultural narrative within the </w:t>
      </w:r>
      <w:r w:rsidRPr="008A0827">
        <w:rPr>
          <w:rFonts w:ascii="Segoe UI" w:eastAsia="Times New Roman" w:hAnsi="Segoe UI" w:cs="Segoe UI"/>
          <w:kern w:val="0"/>
          <w:sz w:val="21"/>
          <w:szCs w:val="21"/>
          <w14:ligatures w14:val="none"/>
        </w:rPr>
        <w:lastRenderedPageBreak/>
        <w:t xml:space="preserve">company focuses on being </w:t>
      </w:r>
      <w:r w:rsidRPr="008A0827">
        <w:rPr>
          <w:rFonts w:ascii="Segoe UI" w:eastAsia="Times New Roman" w:hAnsi="Segoe UI" w:cs="Segoe UI"/>
          <w:b/>
          <w:bCs/>
          <w:kern w:val="0"/>
          <w:sz w:val="21"/>
          <w:szCs w:val="21"/>
          <w14:ligatures w14:val="none"/>
        </w:rPr>
        <w:t>“customer-centric, unified, and innovative.”</w:t>
      </w:r>
      <w:r w:rsidRPr="008A0827">
        <w:rPr>
          <w:rFonts w:ascii="Segoe UI" w:eastAsia="Times New Roman" w:hAnsi="Segoe UI" w:cs="Segoe UI"/>
          <w:kern w:val="0"/>
          <w:sz w:val="21"/>
          <w:szCs w:val="21"/>
          <w14:ligatures w14:val="none"/>
        </w:rPr>
        <w:t xml:space="preserve"> Employees are regularly reminded of Thomson Reuters’ mission to provide </w:t>
      </w:r>
      <w:r w:rsidRPr="008A0827">
        <w:rPr>
          <w:rFonts w:ascii="Segoe UI" w:eastAsia="Times New Roman" w:hAnsi="Segoe UI" w:cs="Segoe UI"/>
          <w:b/>
          <w:bCs/>
          <w:kern w:val="0"/>
          <w:sz w:val="21"/>
          <w:szCs w:val="21"/>
          <w14:ligatures w14:val="none"/>
        </w:rPr>
        <w:t>high-quality, tech-enabled solutions</w:t>
      </w:r>
      <w:r w:rsidRPr="008A0827">
        <w:rPr>
          <w:rFonts w:ascii="Segoe UI" w:eastAsia="Times New Roman" w:hAnsi="Segoe UI" w:cs="Segoe UI"/>
          <w:kern w:val="0"/>
          <w:sz w:val="21"/>
          <w:szCs w:val="21"/>
          <w14:ligatures w14:val="none"/>
        </w:rPr>
        <w:t xml:space="preserve"> to professionals, rather than just information. A key finding is that leadership communication has been effective – e.g., company-wide events like Global Learning Day where the CEO reinforced the strategic priorities (AI for customers and colleagues) have helped align employees with the corporate vision</w:t>
      </w:r>
      <w:hyperlink r:id="rId31"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xml:space="preserve">. Another finding is that </w:t>
      </w:r>
      <w:r w:rsidRPr="008A0827">
        <w:rPr>
          <w:rFonts w:ascii="Segoe UI" w:eastAsia="Times New Roman" w:hAnsi="Segoe UI" w:cs="Segoe UI"/>
          <w:b/>
          <w:bCs/>
          <w:kern w:val="0"/>
          <w:sz w:val="21"/>
          <w:szCs w:val="21"/>
          <w14:ligatures w14:val="none"/>
        </w:rPr>
        <w:t>trust principles</w:t>
      </w:r>
      <w:r w:rsidRPr="008A0827">
        <w:rPr>
          <w:rFonts w:ascii="Segoe UI" w:eastAsia="Times New Roman" w:hAnsi="Segoe UI" w:cs="Segoe UI"/>
          <w:kern w:val="0"/>
          <w:sz w:val="21"/>
          <w:szCs w:val="21"/>
          <w14:ligatures w14:val="none"/>
        </w:rPr>
        <w:t xml:space="preserve"> (integrity, independence, freedom from bias) remain deeply ingrained in the corporate DNA</w:t>
      </w:r>
      <w:hyperlink r:id="rId32"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which is a strength as the firm transforms – it seeks to innovate without compromising its brand reputation for reliability.</w:t>
      </w:r>
    </w:p>
    <w:p w14:paraId="1AB8B78B"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AI Integration Context:</w:t>
      </w:r>
      <w:r w:rsidRPr="008A0827">
        <w:rPr>
          <w:rFonts w:ascii="Segoe UI" w:eastAsia="Times New Roman" w:hAnsi="Segoe UI" w:cs="Segoe UI"/>
          <w:kern w:val="0"/>
          <w:sz w:val="21"/>
          <w:szCs w:val="21"/>
          <w14:ligatures w14:val="none"/>
        </w:rPr>
        <w:t xml:space="preserve"> AI is framed as integral to Thomson Reuters’ future identity. The firm’s long history with AI (over 30 years of applied AI in products through Thomson Reuters Labs</w:t>
      </w:r>
      <w:hyperlink r:id="rId33"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gives it credibility in claiming an AI-augmented identity. The strategic narrative presented to stakeholders often highlights </w:t>
      </w:r>
      <w:r w:rsidRPr="008A0827">
        <w:rPr>
          <w:rFonts w:ascii="Segoe UI" w:eastAsia="Times New Roman" w:hAnsi="Segoe UI" w:cs="Segoe UI"/>
          <w:b/>
          <w:bCs/>
          <w:kern w:val="0"/>
          <w:sz w:val="21"/>
          <w:szCs w:val="21"/>
          <w14:ligatures w14:val="none"/>
        </w:rPr>
        <w:t>professional-grade AI</w:t>
      </w:r>
      <w:r w:rsidRPr="008A0827">
        <w:rPr>
          <w:rFonts w:ascii="Segoe UI" w:eastAsia="Times New Roman" w:hAnsi="Segoe UI" w:cs="Segoe UI"/>
          <w:kern w:val="0"/>
          <w:sz w:val="21"/>
          <w:szCs w:val="21"/>
          <w14:ligatures w14:val="none"/>
        </w:rPr>
        <w:t xml:space="preserve"> – positioning Thomson Reuters as a leader in responsible, expert AI for law, tax, and news domains. Corporate leadership has articulated that AI is </w:t>
      </w:r>
      <w:r w:rsidRPr="008A0827">
        <w:rPr>
          <w:rFonts w:ascii="Segoe UI" w:eastAsia="Times New Roman" w:hAnsi="Segoe UI" w:cs="Segoe UI"/>
          <w:b/>
          <w:bCs/>
          <w:kern w:val="0"/>
          <w:sz w:val="21"/>
          <w:szCs w:val="21"/>
          <w14:ligatures w14:val="none"/>
        </w:rPr>
        <w:t>“a key enabler, not a silver bullet,”</w:t>
      </w:r>
      <w:r w:rsidRPr="008A0827">
        <w:rPr>
          <w:rFonts w:ascii="Segoe UI" w:eastAsia="Times New Roman" w:hAnsi="Segoe UI" w:cs="Segoe UI"/>
          <w:kern w:val="0"/>
          <w:sz w:val="21"/>
          <w:szCs w:val="21"/>
          <w14:ligatures w14:val="none"/>
        </w:rPr>
        <w:t xml:space="preserve"> meaning it’s pursued in tandem with other transformation levers (process, talent, etc.). AI is being infused into the corporate strategy through flagship initiatives like the launch of </w:t>
      </w:r>
      <w:r w:rsidRPr="008A0827">
        <w:rPr>
          <w:rFonts w:ascii="Segoe UI" w:eastAsia="Times New Roman" w:hAnsi="Segoe UI" w:cs="Segoe UI"/>
          <w:b/>
          <w:bCs/>
          <w:kern w:val="0"/>
          <w:sz w:val="21"/>
          <w:szCs w:val="21"/>
          <w14:ligatures w14:val="none"/>
        </w:rPr>
        <w:t xml:space="preserve">Thomson Reuters </w:t>
      </w:r>
      <w:proofErr w:type="spellStart"/>
      <w:r w:rsidRPr="008A0827">
        <w:rPr>
          <w:rFonts w:ascii="Segoe UI" w:eastAsia="Times New Roman" w:hAnsi="Segoe UI" w:cs="Segoe UI"/>
          <w:b/>
          <w:bCs/>
          <w:kern w:val="0"/>
          <w:sz w:val="21"/>
          <w:szCs w:val="21"/>
          <w14:ligatures w14:val="none"/>
        </w:rPr>
        <w:t>CoCounsel</w:t>
      </w:r>
      <w:proofErr w:type="spellEnd"/>
      <w:r w:rsidRPr="008A0827">
        <w:rPr>
          <w:rFonts w:ascii="Segoe UI" w:eastAsia="Times New Roman" w:hAnsi="Segoe UI" w:cs="Segoe UI"/>
          <w:kern w:val="0"/>
          <w:sz w:val="21"/>
          <w:szCs w:val="21"/>
          <w14:ligatures w14:val="none"/>
        </w:rPr>
        <w:t xml:space="preserve"> (a generative AI legal assistant) and the augmentation of existing products with AI features</w:t>
      </w:r>
      <w:hyperlink r:id="rId34"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Additionally, the company established robust AI governance as part of its identity; for example, ethical AI use is now embedded in the Code of Conduct and training, reflecting that being an </w:t>
      </w:r>
      <w:r w:rsidRPr="008A0827">
        <w:rPr>
          <w:rFonts w:ascii="Segoe UI" w:eastAsia="Times New Roman" w:hAnsi="Segoe UI" w:cs="Segoe UI"/>
          <w:b/>
          <w:bCs/>
          <w:kern w:val="0"/>
          <w:sz w:val="21"/>
          <w:szCs w:val="21"/>
          <w14:ligatures w14:val="none"/>
        </w:rPr>
        <w:t>ethical AI leader</w:t>
      </w:r>
      <w:r w:rsidRPr="008A0827">
        <w:rPr>
          <w:rFonts w:ascii="Segoe UI" w:eastAsia="Times New Roman" w:hAnsi="Segoe UI" w:cs="Segoe UI"/>
          <w:kern w:val="0"/>
          <w:sz w:val="21"/>
          <w:szCs w:val="21"/>
          <w14:ligatures w14:val="none"/>
        </w:rPr>
        <w:t xml:space="preserve"> is part of Thomson Reuters’ brand</w:t>
      </w:r>
      <w:hyperlink r:id="rId35"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This integration of AI into the corporate ethos suggests that Thomson Reuters views AI innovation as core to its transformation identity, not just as experimental projects on the side.</w:t>
      </w:r>
    </w:p>
    <w:p w14:paraId="3B660751"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Supporting Internal Evidence:</w:t>
      </w:r>
      <w:r w:rsidRPr="008A0827">
        <w:rPr>
          <w:rFonts w:ascii="Segoe UI" w:eastAsia="Times New Roman" w:hAnsi="Segoe UI" w:cs="Segoe UI"/>
          <w:kern w:val="0"/>
          <w:sz w:val="21"/>
          <w:szCs w:val="21"/>
          <w14:ligatures w14:val="none"/>
        </w:rPr>
        <w:t xml:space="preserve"> Key evidence of Thomson Reuters’ transformation foundation includes internal strategy documents and leadership communications. The </w:t>
      </w:r>
      <w:r w:rsidRPr="008A0827">
        <w:rPr>
          <w:rFonts w:ascii="Segoe UI" w:eastAsia="Times New Roman" w:hAnsi="Segoe UI" w:cs="Segoe UI"/>
          <w:b/>
          <w:bCs/>
          <w:kern w:val="0"/>
          <w:sz w:val="21"/>
          <w:szCs w:val="21"/>
          <w14:ligatures w14:val="none"/>
        </w:rPr>
        <w:t>Investor Day 2021 presentation</w:t>
      </w:r>
      <w:r w:rsidRPr="008A0827">
        <w:rPr>
          <w:rFonts w:ascii="Segoe UI" w:eastAsia="Times New Roman" w:hAnsi="Segoe UI" w:cs="Segoe UI"/>
          <w:kern w:val="0"/>
          <w:sz w:val="21"/>
          <w:szCs w:val="21"/>
          <w14:ligatures w14:val="none"/>
        </w:rPr>
        <w:t xml:space="preserve"> by the Chief Operations &amp; Technology Officer outlined the shift to an agile operating company, highlighting the need for shared capabilities and an end-to-end customer view</w:t>
      </w:r>
      <w:hyperlink r:id="rId36" w:history="1">
        <w:r w:rsidRPr="008A0827">
          <w:rPr>
            <w:rFonts w:ascii="Segoe UI" w:eastAsia="Times New Roman" w:hAnsi="Segoe UI" w:cs="Segoe UI"/>
            <w:color w:val="464FEB"/>
            <w:kern w:val="0"/>
            <w:sz w:val="21"/>
            <w:szCs w:val="21"/>
            <w14:ligatures w14:val="none"/>
          </w:rPr>
          <w:t>[3]</w:t>
        </w:r>
      </w:hyperlink>
      <w:hyperlink r:id="rId37" w:history="1">
        <w:r w:rsidRPr="008A0827">
          <w:rPr>
            <w:rFonts w:ascii="Segoe UI" w:eastAsia="Times New Roman" w:hAnsi="Segoe UI" w:cs="Segoe UI"/>
            <w:color w:val="464FEB"/>
            <w:kern w:val="0"/>
            <w:sz w:val="21"/>
            <w:szCs w:val="21"/>
            <w14:ligatures w14:val="none"/>
          </w:rPr>
          <w:t>[3]</w:t>
        </w:r>
      </w:hyperlink>
      <w:r w:rsidRPr="008A0827">
        <w:rPr>
          <w:rFonts w:ascii="Segoe UI" w:eastAsia="Times New Roman" w:hAnsi="Segoe UI" w:cs="Segoe UI"/>
          <w:kern w:val="0"/>
          <w:sz w:val="21"/>
          <w:szCs w:val="21"/>
          <w14:ligatures w14:val="none"/>
        </w:rPr>
        <w:t xml:space="preserve">. The </w:t>
      </w:r>
      <w:r w:rsidRPr="008A0827">
        <w:rPr>
          <w:rFonts w:ascii="Segoe UI" w:eastAsia="Times New Roman" w:hAnsi="Segoe UI" w:cs="Segoe UI"/>
          <w:b/>
          <w:bCs/>
          <w:kern w:val="0"/>
          <w:sz w:val="21"/>
          <w:szCs w:val="21"/>
          <w14:ligatures w14:val="none"/>
        </w:rPr>
        <w:t>2023 Annual Report</w:t>
      </w:r>
      <w:r w:rsidRPr="008A0827">
        <w:rPr>
          <w:rFonts w:ascii="Segoe UI" w:eastAsia="Times New Roman" w:hAnsi="Segoe UI" w:cs="Segoe UI"/>
          <w:kern w:val="0"/>
          <w:sz w:val="21"/>
          <w:szCs w:val="21"/>
          <w14:ligatures w14:val="none"/>
        </w:rPr>
        <w:t xml:space="preserve"> explicitly defines the completed Change Program and its objectives of structural and cultural transformation</w:t>
      </w:r>
      <w:hyperlink r:id="rId38"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It also describes how Operations &amp; Technology drives strategy execution across data, digital, and customer support – essentially serving as the backbone for transformation</w:t>
      </w:r>
      <w:hyperlink r:id="rId3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Internally, </w:t>
      </w:r>
      <w:r w:rsidRPr="008A0827">
        <w:rPr>
          <w:rFonts w:ascii="Segoe UI" w:eastAsia="Times New Roman" w:hAnsi="Segoe UI" w:cs="Segoe UI"/>
          <w:b/>
          <w:bCs/>
          <w:kern w:val="0"/>
          <w:sz w:val="21"/>
          <w:szCs w:val="21"/>
          <w14:ligatures w14:val="none"/>
        </w:rPr>
        <w:t>employee town halls</w:t>
      </w:r>
      <w:r w:rsidRPr="008A0827">
        <w:rPr>
          <w:rFonts w:ascii="Segoe UI" w:eastAsia="Times New Roman" w:hAnsi="Segoe UI" w:cs="Segoe UI"/>
          <w:kern w:val="0"/>
          <w:sz w:val="21"/>
          <w:szCs w:val="21"/>
          <w14:ligatures w14:val="none"/>
        </w:rPr>
        <w:t xml:space="preserve"> and newsletters have reiterated progress and successes of the Change Program (e.g., reduction of technical debt, faster product releases, improved customer NPS). Another piece of evidence is the incorporation of transformation goals into performance metrics at the leadership level – for instance, KPIs around increasing digital sales and cloud migration were set during the program and monitored by the board. The </w:t>
      </w:r>
      <w:r w:rsidRPr="008A0827">
        <w:rPr>
          <w:rFonts w:ascii="Segoe UI" w:eastAsia="Times New Roman" w:hAnsi="Segoe UI" w:cs="Segoe UI"/>
          <w:b/>
          <w:bCs/>
          <w:kern w:val="0"/>
          <w:sz w:val="21"/>
          <w:szCs w:val="21"/>
          <w14:ligatures w14:val="none"/>
        </w:rPr>
        <w:t>Thomson Reuters Trust Principles</w:t>
      </w:r>
      <w:r w:rsidRPr="008A0827">
        <w:rPr>
          <w:rFonts w:ascii="Segoe UI" w:eastAsia="Times New Roman" w:hAnsi="Segoe UI" w:cs="Segoe UI"/>
          <w:kern w:val="0"/>
          <w:sz w:val="21"/>
          <w:szCs w:val="21"/>
          <w14:ligatures w14:val="none"/>
        </w:rPr>
        <w:t xml:space="preserve"> and a legacy of editorial independence</w:t>
      </w:r>
      <w:hyperlink r:id="rId40"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are often cited in internal messaging to reassure that even as the company transforms, it will not abandon the core values that define its identity.</w:t>
      </w:r>
    </w:p>
    <w:p w14:paraId="543394A1"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Opportunities:</w:t>
      </w:r>
      <w:r w:rsidRPr="008A0827">
        <w:rPr>
          <w:rFonts w:ascii="Segoe UI" w:eastAsia="Times New Roman" w:hAnsi="Segoe UI" w:cs="Segoe UI"/>
          <w:kern w:val="0"/>
          <w:sz w:val="21"/>
          <w:szCs w:val="21"/>
          <w14:ligatures w14:val="none"/>
        </w:rPr>
        <w:t xml:space="preserve"> Given its strong foundation, Thomson Reuters can pursue several opportunities to reinforce corporate-level transformation. </w:t>
      </w:r>
      <w:r w:rsidRPr="008A0827">
        <w:rPr>
          <w:rFonts w:ascii="Segoe UI" w:eastAsia="Times New Roman" w:hAnsi="Segoe UI" w:cs="Segoe UI"/>
          <w:b/>
          <w:bCs/>
          <w:kern w:val="0"/>
          <w:sz w:val="21"/>
          <w:szCs w:val="21"/>
          <w14:ligatures w14:val="none"/>
        </w:rPr>
        <w:t>One immediate opportunity (next 3–6 months)</w:t>
      </w:r>
      <w:r w:rsidRPr="008A0827">
        <w:rPr>
          <w:rFonts w:ascii="Segoe UI" w:eastAsia="Times New Roman" w:hAnsi="Segoe UI" w:cs="Segoe UI"/>
          <w:kern w:val="0"/>
          <w:sz w:val="21"/>
          <w:szCs w:val="21"/>
          <w14:ligatures w14:val="none"/>
        </w:rPr>
        <w:t xml:space="preserve"> is to launch an internal “transformation scorecard” visible to all employees – this would transparently track progress on key initiatives (e.g., % of products migrated to cloud, AI adoption rates, process efficiency gains) and keep the corporate vision front-of-mind. </w:t>
      </w:r>
      <w:r w:rsidRPr="008A0827">
        <w:rPr>
          <w:rFonts w:ascii="Segoe UI" w:eastAsia="Times New Roman" w:hAnsi="Segoe UI" w:cs="Segoe UI"/>
          <w:b/>
          <w:bCs/>
          <w:kern w:val="0"/>
          <w:sz w:val="21"/>
          <w:szCs w:val="21"/>
          <w14:ligatures w14:val="none"/>
        </w:rPr>
        <w:t>In the medium term (6–18 months)</w:t>
      </w:r>
      <w:r w:rsidRPr="008A0827">
        <w:rPr>
          <w:rFonts w:ascii="Segoe UI" w:eastAsia="Times New Roman" w:hAnsi="Segoe UI" w:cs="Segoe UI"/>
          <w:kern w:val="0"/>
          <w:sz w:val="21"/>
          <w:szCs w:val="21"/>
          <w14:ligatures w14:val="none"/>
        </w:rPr>
        <w:t xml:space="preserve">, Thomson Reuters could initiate cross-functional “innovation councils” that bring together leaders from product, technology, and customer-facing teams in each segment to ideate new solutions that leverage the company’s unified assets. This would capitalize on the now-integrated structure, fostering synergy (for example, using legal segment’s expertise to inform new offerings in the tax segment or vice versa). Another medium-term opportunity is extending the Thomson Reuters brand into new professional adjacencies (like Environmental/Social/Governance data services or cybersecurity compliance) by leveraging its trust and tech reputation – essentially expanding the corporate identity into emerging high-value domains. </w:t>
      </w:r>
      <w:r w:rsidRPr="008A0827">
        <w:rPr>
          <w:rFonts w:ascii="Segoe UI" w:eastAsia="Times New Roman" w:hAnsi="Segoe UI" w:cs="Segoe UI"/>
          <w:b/>
          <w:bCs/>
          <w:kern w:val="0"/>
          <w:sz w:val="21"/>
          <w:szCs w:val="21"/>
          <w14:ligatures w14:val="none"/>
        </w:rPr>
        <w:t>Long-term (18–36 months)</w:t>
      </w:r>
      <w:r w:rsidRPr="008A0827">
        <w:rPr>
          <w:rFonts w:ascii="Segoe UI" w:eastAsia="Times New Roman" w:hAnsi="Segoe UI" w:cs="Segoe UI"/>
          <w:kern w:val="0"/>
          <w:sz w:val="21"/>
          <w:szCs w:val="21"/>
          <w14:ligatures w14:val="none"/>
        </w:rPr>
        <w:t xml:space="preserve">, the company could aim to position itself as an </w:t>
      </w:r>
      <w:r w:rsidRPr="008A0827">
        <w:rPr>
          <w:rFonts w:ascii="Segoe UI" w:eastAsia="Times New Roman" w:hAnsi="Segoe UI" w:cs="Segoe UI"/>
          <w:b/>
          <w:bCs/>
          <w:kern w:val="0"/>
          <w:sz w:val="21"/>
          <w:szCs w:val="21"/>
          <w14:ligatures w14:val="none"/>
        </w:rPr>
        <w:t>“AI-native enterprise”</w:t>
      </w:r>
      <w:r w:rsidRPr="008A0827">
        <w:rPr>
          <w:rFonts w:ascii="Segoe UI" w:eastAsia="Times New Roman" w:hAnsi="Segoe UI" w:cs="Segoe UI"/>
          <w:kern w:val="0"/>
          <w:sz w:val="21"/>
          <w:szCs w:val="21"/>
          <w14:ligatures w14:val="none"/>
        </w:rPr>
        <w:t xml:space="preserve"> – where internal operations (from sales to content creation) are powered by AI-driven processes. Achieving this could involve creating a formal AI Center of Excellence that continuously infuses the latest AI advancements into business functions, thereby sustaining transformation beyond the initial program. Across all horizons, Thomson Reuters </w:t>
      </w:r>
      <w:proofErr w:type="gramStart"/>
      <w:r w:rsidRPr="008A0827">
        <w:rPr>
          <w:rFonts w:ascii="Segoe UI" w:eastAsia="Times New Roman" w:hAnsi="Segoe UI" w:cs="Segoe UI"/>
          <w:kern w:val="0"/>
          <w:sz w:val="21"/>
          <w:szCs w:val="21"/>
          <w14:ligatures w14:val="none"/>
        </w:rPr>
        <w:t>has the opportunity to</w:t>
      </w:r>
      <w:proofErr w:type="gramEnd"/>
      <w:r w:rsidRPr="008A0827">
        <w:rPr>
          <w:rFonts w:ascii="Segoe UI" w:eastAsia="Times New Roman" w:hAnsi="Segoe UI" w:cs="Segoe UI"/>
          <w:kern w:val="0"/>
          <w:sz w:val="21"/>
          <w:szCs w:val="21"/>
          <w14:ligatures w14:val="none"/>
        </w:rPr>
        <w:t xml:space="preserve"> further </w:t>
      </w:r>
      <w:r w:rsidRPr="008A0827">
        <w:rPr>
          <w:rFonts w:ascii="Segoe UI" w:eastAsia="Times New Roman" w:hAnsi="Segoe UI" w:cs="Segoe UI"/>
          <w:b/>
          <w:bCs/>
          <w:kern w:val="0"/>
          <w:sz w:val="21"/>
          <w:szCs w:val="21"/>
          <w14:ligatures w14:val="none"/>
        </w:rPr>
        <w:t>tell its transformation story</w:t>
      </w:r>
      <w:r w:rsidRPr="008A0827">
        <w:rPr>
          <w:rFonts w:ascii="Segoe UI" w:eastAsia="Times New Roman" w:hAnsi="Segoe UI" w:cs="Segoe UI"/>
          <w:kern w:val="0"/>
          <w:sz w:val="21"/>
          <w:szCs w:val="21"/>
          <w14:ligatures w14:val="none"/>
        </w:rPr>
        <w:t xml:space="preserve"> to both </w:t>
      </w:r>
      <w:r w:rsidRPr="008A0827">
        <w:rPr>
          <w:rFonts w:ascii="Segoe UI" w:eastAsia="Times New Roman" w:hAnsi="Segoe UI" w:cs="Segoe UI"/>
          <w:kern w:val="0"/>
          <w:sz w:val="21"/>
          <w:szCs w:val="21"/>
          <w14:ligatures w14:val="none"/>
        </w:rPr>
        <w:lastRenderedPageBreak/>
        <w:t>employees and customers – strengthening identity as not just a venerable institution but also a modern, dynamic innovator.</w:t>
      </w:r>
    </w:p>
    <w:p w14:paraId="59D9B509"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Information Gaps &amp; Research Recommendations:</w:t>
      </w:r>
      <w:r w:rsidRPr="008A0827">
        <w:rPr>
          <w:rFonts w:ascii="Segoe UI" w:eastAsia="Times New Roman" w:hAnsi="Segoe UI" w:cs="Segoe UI"/>
          <w:kern w:val="0"/>
          <w:sz w:val="21"/>
          <w:szCs w:val="21"/>
          <w14:ligatures w14:val="none"/>
        </w:rPr>
        <w:t xml:space="preserve"> While a broad understanding of the corporate transformation exists, certain gaps remain. More information is needed on </w:t>
      </w:r>
      <w:r w:rsidRPr="008A0827">
        <w:rPr>
          <w:rFonts w:ascii="Segoe UI" w:eastAsia="Times New Roman" w:hAnsi="Segoe UI" w:cs="Segoe UI"/>
          <w:b/>
          <w:bCs/>
          <w:kern w:val="0"/>
          <w:sz w:val="21"/>
          <w:szCs w:val="21"/>
          <w14:ligatures w14:val="none"/>
        </w:rPr>
        <w:t>how governance is specifically being carried out</w:t>
      </w:r>
      <w:r w:rsidRPr="008A0827">
        <w:rPr>
          <w:rFonts w:ascii="Segoe UI" w:eastAsia="Times New Roman" w:hAnsi="Segoe UI" w:cs="Segoe UI"/>
          <w:kern w:val="0"/>
          <w:sz w:val="21"/>
          <w:szCs w:val="21"/>
          <w14:ligatures w14:val="none"/>
        </w:rPr>
        <w:t xml:space="preserve"> post-Change Program – for example, details on any “Transformation Management Office” or steering committees that oversee ongoing reimagination initiatives would be valuable. Research should be directed at uncovering any </w:t>
      </w:r>
      <w:r w:rsidRPr="008A0827">
        <w:rPr>
          <w:rFonts w:ascii="Segoe UI" w:eastAsia="Times New Roman" w:hAnsi="Segoe UI" w:cs="Segoe UI"/>
          <w:b/>
          <w:bCs/>
          <w:kern w:val="0"/>
          <w:sz w:val="21"/>
          <w:szCs w:val="21"/>
          <w14:ligatures w14:val="none"/>
        </w:rPr>
        <w:t>internal surveys or sentiment analyses</w:t>
      </w:r>
      <w:r w:rsidRPr="008A0827">
        <w:rPr>
          <w:rFonts w:ascii="Segoe UI" w:eastAsia="Times New Roman" w:hAnsi="Segoe UI" w:cs="Segoe UI"/>
          <w:kern w:val="0"/>
          <w:sz w:val="21"/>
          <w:szCs w:val="21"/>
          <w14:ligatures w14:val="none"/>
        </w:rPr>
        <w:t xml:space="preserve"> that measure employee buy-in to the new corporate identity; knowing the sentiment score would help identify if any pockets of resistance exist. Additionally, it would be useful to gather internal documentation on </w:t>
      </w:r>
      <w:r w:rsidRPr="008A0827">
        <w:rPr>
          <w:rFonts w:ascii="Segoe UI" w:eastAsia="Times New Roman" w:hAnsi="Segoe UI" w:cs="Segoe UI"/>
          <w:b/>
          <w:bCs/>
          <w:kern w:val="0"/>
          <w:sz w:val="21"/>
          <w:szCs w:val="21"/>
          <w14:ligatures w14:val="none"/>
        </w:rPr>
        <w:t>resource allocation</w:t>
      </w:r>
      <w:r w:rsidRPr="008A0827">
        <w:rPr>
          <w:rFonts w:ascii="Segoe UI" w:eastAsia="Times New Roman" w:hAnsi="Segoe UI" w:cs="Segoe UI"/>
          <w:kern w:val="0"/>
          <w:sz w:val="21"/>
          <w:szCs w:val="21"/>
          <w14:ligatures w14:val="none"/>
        </w:rPr>
        <w:t xml:space="preserve"> – how exactly funds and talent are being allocated to strategic priorities versus legacy operations. This could involve reviewing internal financial plans or talking to finance business partners. Another gap is understanding external stakeholder perception; conducting a few </w:t>
      </w:r>
      <w:r w:rsidRPr="008A0827">
        <w:rPr>
          <w:rFonts w:ascii="Segoe UI" w:eastAsia="Times New Roman" w:hAnsi="Segoe UI" w:cs="Segoe UI"/>
          <w:b/>
          <w:bCs/>
          <w:kern w:val="0"/>
          <w:sz w:val="21"/>
          <w:szCs w:val="21"/>
          <w14:ligatures w14:val="none"/>
        </w:rPr>
        <w:t>in-depth interviews with key clients or partners</w:t>
      </w:r>
      <w:r w:rsidRPr="008A0827">
        <w:rPr>
          <w:rFonts w:ascii="Segoe UI" w:eastAsia="Times New Roman" w:hAnsi="Segoe UI" w:cs="Segoe UI"/>
          <w:kern w:val="0"/>
          <w:sz w:val="21"/>
          <w:szCs w:val="21"/>
          <w14:ligatures w14:val="none"/>
        </w:rPr>
        <w:t xml:space="preserve"> about their view of Thomson Reuters’ transformation could validate whether the corporate identity shift is recognized externally. Lastly, obtaining any documentation on </w:t>
      </w:r>
      <w:r w:rsidRPr="008A0827">
        <w:rPr>
          <w:rFonts w:ascii="Segoe UI" w:eastAsia="Times New Roman" w:hAnsi="Segoe UI" w:cs="Segoe UI"/>
          <w:b/>
          <w:bCs/>
          <w:kern w:val="0"/>
          <w:sz w:val="21"/>
          <w:szCs w:val="21"/>
          <w14:ligatures w14:val="none"/>
        </w:rPr>
        <w:t>post-mortem of the Change Program</w:t>
      </w:r>
      <w:r w:rsidRPr="008A0827">
        <w:rPr>
          <w:rFonts w:ascii="Segoe UI" w:eastAsia="Times New Roman" w:hAnsi="Segoe UI" w:cs="Segoe UI"/>
          <w:kern w:val="0"/>
          <w:sz w:val="21"/>
          <w:szCs w:val="21"/>
          <w14:ligatures w14:val="none"/>
        </w:rPr>
        <w:t xml:space="preserve"> (lessons learned, remaining pain points) would inform how the foundation can be strengthened further. Engaging with the program leaders or reading any wrap-up reports would be recommended.</w:t>
      </w:r>
    </w:p>
    <w:p w14:paraId="1002FE3A"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Summary:</w:t>
      </w:r>
      <w:r w:rsidRPr="008A0827">
        <w:rPr>
          <w:rFonts w:ascii="Segoe UI" w:eastAsia="Times New Roman" w:hAnsi="Segoe UI" w:cs="Segoe UI"/>
          <w:kern w:val="0"/>
          <w:sz w:val="21"/>
          <w:szCs w:val="21"/>
          <w14:ligatures w14:val="none"/>
        </w:rPr>
        <w:t xml:space="preserve"> Thomson Reuters has largely solidified its corporate identity as an integrated, forward-looking enterprise ready to drive end-to-end transformation. Leadership vision, structural alignment, and cultural momentum are in place, providing a strong launchpad. With only minor gaps to address in governance clarity and continuous communication, the company’s foundation for transformation is robust. The identity and strategic groundwork are well-poised to support the ambitious reimagination program ahead, ensuring that subsequent transformation efforts are built on unity, clarity, and shared purpose.</w:t>
      </w:r>
    </w:p>
    <w:p w14:paraId="5DDFB662" w14:textId="77777777" w:rsidR="008A0827" w:rsidRPr="008A0827" w:rsidRDefault="00AF5BFA" w:rsidP="008A0827">
      <w:pPr>
        <w:spacing w:after="0" w:line="300" w:lineRule="atLeast"/>
        <w:rPr>
          <w:rFonts w:ascii="Segoe UI" w:eastAsia="Times New Roman" w:hAnsi="Segoe UI" w:cs="Segoe UI"/>
          <w:kern w:val="0"/>
          <w:sz w:val="21"/>
          <w:szCs w:val="21"/>
          <w14:ligatures w14:val="none"/>
        </w:rPr>
      </w:pPr>
      <w:r>
        <w:rPr>
          <w:noProof/>
        </w:rPr>
      </w:r>
      <w:r w:rsidR="00AF5BFA">
        <w:rPr>
          <w:noProof/>
        </w:rPr>
        <w:pict w14:anchorId="0BFC2BEB">
          <v:rect id="Rectangle 4" o:spid="_x0000_s1041"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64BA18" w14:textId="77777777" w:rsidR="008A0827" w:rsidRPr="008A0827" w:rsidRDefault="008A0827" w:rsidP="008A082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8A0827">
        <w:rPr>
          <w:rFonts w:ascii="Segoe UI" w:eastAsia="Times New Roman" w:hAnsi="Segoe UI" w:cs="Segoe UI"/>
          <w:b/>
          <w:bCs/>
          <w:kern w:val="0"/>
          <w:sz w:val="36"/>
          <w:szCs w:val="36"/>
          <w14:ligatures w14:val="none"/>
        </w:rPr>
        <w:t>BUSINESS MODEL &amp; VALUE PROPOSITION REIMAGINATION STRATEGY</w:t>
      </w:r>
    </w:p>
    <w:p w14:paraId="35442B85"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Assessment:</w:t>
      </w:r>
      <w:r w:rsidRPr="008A0827">
        <w:rPr>
          <w:rFonts w:ascii="Segoe UI" w:eastAsia="Times New Roman" w:hAnsi="Segoe UI" w:cs="Segoe UI"/>
          <w:kern w:val="0"/>
          <w:sz w:val="21"/>
          <w:szCs w:val="21"/>
          <w14:ligatures w14:val="none"/>
        </w:rPr>
        <w:t xml:space="preserve"> The business model of Thomson Reuters is moderately mature </w:t>
      </w:r>
      <w:proofErr w:type="gramStart"/>
      <w:r w:rsidRPr="008A0827">
        <w:rPr>
          <w:rFonts w:ascii="Segoe UI" w:eastAsia="Times New Roman" w:hAnsi="Segoe UI" w:cs="Segoe UI"/>
          <w:kern w:val="0"/>
          <w:sz w:val="21"/>
          <w:szCs w:val="21"/>
          <w14:ligatures w14:val="none"/>
        </w:rPr>
        <w:t>with regard to</w:t>
      </w:r>
      <w:proofErr w:type="gramEnd"/>
      <w:r w:rsidRPr="008A0827">
        <w:rPr>
          <w:rFonts w:ascii="Segoe UI" w:eastAsia="Times New Roman" w:hAnsi="Segoe UI" w:cs="Segoe UI"/>
          <w:kern w:val="0"/>
          <w:sz w:val="21"/>
          <w:szCs w:val="21"/>
          <w14:ligatures w14:val="none"/>
        </w:rPr>
        <w:t xml:space="preserve"> transformation, showing significant progress but also areas needing reinvention (Rating: </w:t>
      </w:r>
      <w:r w:rsidRPr="008A0827">
        <w:rPr>
          <w:rFonts w:ascii="Segoe UI" w:eastAsia="Times New Roman" w:hAnsi="Segoe UI" w:cs="Segoe UI"/>
          <w:b/>
          <w:bCs/>
          <w:kern w:val="0"/>
          <w:sz w:val="21"/>
          <w:szCs w:val="21"/>
          <w14:ligatures w14:val="none"/>
        </w:rPr>
        <w:t>3/5</w:t>
      </w:r>
      <w:r w:rsidRPr="008A0827">
        <w:rPr>
          <w:rFonts w:ascii="Segoe UI" w:eastAsia="Times New Roman" w:hAnsi="Segoe UI" w:cs="Segoe UI"/>
          <w:kern w:val="0"/>
          <w:sz w:val="21"/>
          <w:szCs w:val="21"/>
          <w14:ligatures w14:val="none"/>
        </w:rPr>
        <w:t xml:space="preserve">). The company’s revenue model is </w:t>
      </w:r>
      <w:r w:rsidRPr="008A0827">
        <w:rPr>
          <w:rFonts w:ascii="Segoe UI" w:eastAsia="Times New Roman" w:hAnsi="Segoe UI" w:cs="Segoe UI"/>
          <w:b/>
          <w:bCs/>
          <w:kern w:val="0"/>
          <w:sz w:val="21"/>
          <w:szCs w:val="21"/>
          <w14:ligatures w14:val="none"/>
        </w:rPr>
        <w:t>highly resilient – about 80% of revenues are recurring subscriptions</w:t>
      </w:r>
      <w:r w:rsidRPr="008A0827">
        <w:rPr>
          <w:rFonts w:ascii="Segoe UI" w:eastAsia="Times New Roman" w:hAnsi="Segoe UI" w:cs="Segoe UI"/>
          <w:kern w:val="0"/>
          <w:sz w:val="21"/>
          <w:szCs w:val="21"/>
          <w14:ligatures w14:val="none"/>
        </w:rPr>
        <w:t xml:space="preserve"> to information and software solutions</w:t>
      </w:r>
      <w:hyperlink r:id="rId41"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This provides stability and a platform to invest in new value propositions. Thomson Reuters has started to reimagine its offerings from static content products to </w:t>
      </w:r>
      <w:r w:rsidRPr="008A0827">
        <w:rPr>
          <w:rFonts w:ascii="Segoe UI" w:eastAsia="Times New Roman" w:hAnsi="Segoe UI" w:cs="Segoe UI"/>
          <w:b/>
          <w:bCs/>
          <w:kern w:val="0"/>
          <w:sz w:val="21"/>
          <w:szCs w:val="21"/>
          <w14:ligatures w14:val="none"/>
        </w:rPr>
        <w:t>workflow solutions and platforms</w:t>
      </w:r>
      <w:r w:rsidRPr="008A0827">
        <w:rPr>
          <w:rFonts w:ascii="Segoe UI" w:eastAsia="Times New Roman" w:hAnsi="Segoe UI" w:cs="Segoe UI"/>
          <w:kern w:val="0"/>
          <w:sz w:val="21"/>
          <w:szCs w:val="21"/>
          <w14:ligatures w14:val="none"/>
        </w:rPr>
        <w:t>, which is a positive sign of adaptability</w:t>
      </w:r>
      <w:hyperlink r:id="rId42"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However, some legacy aspects of the model (such as reliance on older products in print or on-premise formats, which still make up ~8% of revenue</w:t>
      </w:r>
      <w:hyperlink r:id="rId43"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continue to constrain full transformation. The readiness is thus mid-level: strong vision and initial execution, but the company must continue to pivot its business model faster to fully align with digital-first, AI-enabled market expectations.</w:t>
      </w:r>
    </w:p>
    <w:p w14:paraId="13467060"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Key Internal Findings:</w:t>
      </w:r>
      <w:r w:rsidRPr="008A0827">
        <w:rPr>
          <w:rFonts w:ascii="Segoe UI" w:eastAsia="Times New Roman" w:hAnsi="Segoe UI" w:cs="Segoe UI"/>
          <w:kern w:val="0"/>
          <w:sz w:val="21"/>
          <w:szCs w:val="21"/>
          <w14:ligatures w14:val="none"/>
        </w:rPr>
        <w:t xml:space="preserve"> Currently, Thomson Reuters operates on a </w:t>
      </w:r>
      <w:r w:rsidRPr="008A0827">
        <w:rPr>
          <w:rFonts w:ascii="Segoe UI" w:eastAsia="Times New Roman" w:hAnsi="Segoe UI" w:cs="Segoe UI"/>
          <w:b/>
          <w:bCs/>
          <w:kern w:val="0"/>
          <w:sz w:val="21"/>
          <w:szCs w:val="21"/>
          <w14:ligatures w14:val="none"/>
        </w:rPr>
        <w:t>hybrid business model</w:t>
      </w:r>
      <w:r w:rsidRPr="008A0827">
        <w:rPr>
          <w:rFonts w:ascii="Segoe UI" w:eastAsia="Times New Roman" w:hAnsi="Segoe UI" w:cs="Segoe UI"/>
          <w:kern w:val="0"/>
          <w:sz w:val="21"/>
          <w:szCs w:val="21"/>
          <w14:ligatures w14:val="none"/>
        </w:rPr>
        <w:t xml:space="preserve"> that blends traditional content provision with evolving software-as-a-service (SaaS) elements. Key findings about the status quo include:</w:t>
      </w:r>
    </w:p>
    <w:p w14:paraId="1051CB4D"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Recurring Revenue Strength:</w:t>
      </w:r>
      <w:r w:rsidRPr="008A0827">
        <w:rPr>
          <w:rFonts w:ascii="Segoe UI" w:eastAsia="Times New Roman" w:hAnsi="Segoe UI" w:cs="Segoe UI"/>
          <w:kern w:val="0"/>
          <w:sz w:val="21"/>
          <w:szCs w:val="21"/>
          <w14:ligatures w14:val="none"/>
        </w:rPr>
        <w:t xml:space="preserve"> A vast portion of sales comes from subscription-based products (online research tools, software platforms like Westlaw, Checkpoint, ONESOURCE). The annual report highlights that this provides predictable cash flows and high renewal rates</w:t>
      </w:r>
      <w:hyperlink r:id="rId44"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w:t>
      </w:r>
    </w:p>
    <w:p w14:paraId="2CF0F3D5"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Value Proposition Evolution:</w:t>
      </w:r>
      <w:r w:rsidRPr="008A0827">
        <w:rPr>
          <w:rFonts w:ascii="Segoe UI" w:eastAsia="Times New Roman" w:hAnsi="Segoe UI" w:cs="Segoe UI"/>
          <w:kern w:val="0"/>
          <w:sz w:val="21"/>
          <w:szCs w:val="21"/>
          <w14:ligatures w14:val="none"/>
        </w:rPr>
        <w:t xml:space="preserve"> Historically, the value proposition was “trusted information at your fingertips.” It is now shifting to </w:t>
      </w:r>
      <w:r w:rsidRPr="008A0827">
        <w:rPr>
          <w:rFonts w:ascii="Segoe UI" w:eastAsia="Times New Roman" w:hAnsi="Segoe UI" w:cs="Segoe UI"/>
          <w:b/>
          <w:bCs/>
          <w:kern w:val="0"/>
          <w:sz w:val="21"/>
          <w:szCs w:val="21"/>
          <w14:ligatures w14:val="none"/>
        </w:rPr>
        <w:t>“integrated solutions that improve professional productivity.”</w:t>
      </w:r>
      <w:r w:rsidRPr="008A0827">
        <w:rPr>
          <w:rFonts w:ascii="Segoe UI" w:eastAsia="Times New Roman" w:hAnsi="Segoe UI" w:cs="Segoe UI"/>
          <w:kern w:val="0"/>
          <w:sz w:val="21"/>
          <w:szCs w:val="21"/>
          <w14:ligatures w14:val="none"/>
        </w:rPr>
        <w:t xml:space="preserve"> For example, instead of just selling legal data, Thomson Reuters increasingly sells solutions that integrate </w:t>
      </w:r>
      <w:r w:rsidRPr="008A0827">
        <w:rPr>
          <w:rFonts w:ascii="Segoe UI" w:eastAsia="Times New Roman" w:hAnsi="Segoe UI" w:cs="Segoe UI"/>
          <w:kern w:val="0"/>
          <w:sz w:val="21"/>
          <w:szCs w:val="21"/>
          <w14:ligatures w14:val="none"/>
        </w:rPr>
        <w:lastRenderedPageBreak/>
        <w:t>legal research, document drafting, and workflow (as seen with Westlaw Precision and Drafting Assistant tools combined)</w:t>
      </w:r>
      <w:hyperlink r:id="rId45"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w:t>
      </w:r>
    </w:p>
    <w:p w14:paraId="32C70853"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Customer Segment Customization:</w:t>
      </w:r>
      <w:r w:rsidRPr="008A0827">
        <w:rPr>
          <w:rFonts w:ascii="Segoe UI" w:eastAsia="Times New Roman" w:hAnsi="Segoe UI" w:cs="Segoe UI"/>
          <w:kern w:val="0"/>
          <w:sz w:val="21"/>
          <w:szCs w:val="21"/>
          <w14:ligatures w14:val="none"/>
        </w:rPr>
        <w:t xml:space="preserve"> The business model has been tailored to different segments – e.g., large law firms get enterprise solutions and account management, whereas small firms and solo practitioners are targeted with more self-serve, cloud-based packages. Similarly in Tax &amp; Accounting, Big Four firms might use ONESOURCE enterprise tax solutions, while small accounting </w:t>
      </w:r>
      <w:proofErr w:type="spellStart"/>
      <w:r w:rsidRPr="008A0827">
        <w:rPr>
          <w:rFonts w:ascii="Segoe UI" w:eastAsia="Times New Roman" w:hAnsi="Segoe UI" w:cs="Segoe UI"/>
          <w:kern w:val="0"/>
          <w:sz w:val="21"/>
          <w:szCs w:val="21"/>
          <w14:ligatures w14:val="none"/>
        </w:rPr>
        <w:t>offices</w:t>
      </w:r>
      <w:proofErr w:type="spellEnd"/>
      <w:r w:rsidRPr="008A0827">
        <w:rPr>
          <w:rFonts w:ascii="Segoe UI" w:eastAsia="Times New Roman" w:hAnsi="Segoe UI" w:cs="Segoe UI"/>
          <w:kern w:val="0"/>
          <w:sz w:val="21"/>
          <w:szCs w:val="21"/>
          <w14:ligatures w14:val="none"/>
        </w:rPr>
        <w:t xml:space="preserve"> use the cloud-based </w:t>
      </w:r>
      <w:r w:rsidRPr="008A0827">
        <w:rPr>
          <w:rFonts w:ascii="Segoe UI" w:eastAsia="Times New Roman" w:hAnsi="Segoe UI" w:cs="Segoe UI"/>
          <w:b/>
          <w:bCs/>
          <w:kern w:val="0"/>
          <w:sz w:val="21"/>
          <w:szCs w:val="21"/>
          <w14:ligatures w14:val="none"/>
        </w:rPr>
        <w:t>Onvio</w:t>
      </w:r>
      <w:r w:rsidRPr="008A0827">
        <w:rPr>
          <w:rFonts w:ascii="Segoe UI" w:eastAsia="Times New Roman" w:hAnsi="Segoe UI" w:cs="Segoe UI"/>
          <w:kern w:val="0"/>
          <w:sz w:val="21"/>
          <w:szCs w:val="21"/>
          <w14:ligatures w14:val="none"/>
        </w:rPr>
        <w:t xml:space="preserve"> platform. This stratification is part of the reimagination to ensure each segment’s needs are met more precisely.</w:t>
      </w:r>
    </w:p>
    <w:p w14:paraId="189718BE"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Bundling and Cross-Sell:</w:t>
      </w:r>
      <w:r w:rsidRPr="008A0827">
        <w:rPr>
          <w:rFonts w:ascii="Segoe UI" w:eastAsia="Times New Roman" w:hAnsi="Segoe UI" w:cs="Segoe UI"/>
          <w:kern w:val="0"/>
          <w:sz w:val="21"/>
          <w:szCs w:val="21"/>
          <w14:ligatures w14:val="none"/>
        </w:rPr>
        <w:t xml:space="preserve"> An internal finding is that Thomson Reuters has been increasingly bundling products to offer greater value. A customer in Corporates might get a package combining Legal Tracker (legal matter management), Compliance Learning, and Reuters Newsfeeds, for instance. Bundling increases average contract value and stickiness.</w:t>
      </w:r>
    </w:p>
    <w:p w14:paraId="779CFA86"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Ongoing Print Decline:</w:t>
      </w:r>
      <w:r w:rsidRPr="008A0827">
        <w:rPr>
          <w:rFonts w:ascii="Segoe UI" w:eastAsia="Times New Roman" w:hAnsi="Segoe UI" w:cs="Segoe UI"/>
          <w:kern w:val="0"/>
          <w:sz w:val="21"/>
          <w:szCs w:val="21"/>
          <w14:ligatures w14:val="none"/>
        </w:rPr>
        <w:t xml:space="preserve"> One area still in transition is the legacy print business (law books, reference guides). Print now constitutes only about 8% of revenue and declining</w:t>
      </w:r>
      <w:hyperlink r:id="rId46"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but it requires managed decline – ensuring customers migrate to online equivalents (e.g., Practical Law online instead of print newsletters). This is a facet of the business model that’s actively being transformed.</w:t>
      </w:r>
    </w:p>
    <w:p w14:paraId="5C43EE26" w14:textId="77777777" w:rsidR="008A0827" w:rsidRPr="008A0827" w:rsidRDefault="008A0827" w:rsidP="008A082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APIs and Partner Ecosystem:</w:t>
      </w:r>
      <w:r w:rsidRPr="008A0827">
        <w:rPr>
          <w:rFonts w:ascii="Segoe UI" w:eastAsia="Times New Roman" w:hAnsi="Segoe UI" w:cs="Segoe UI"/>
          <w:kern w:val="0"/>
          <w:sz w:val="21"/>
          <w:szCs w:val="21"/>
          <w14:ligatures w14:val="none"/>
        </w:rPr>
        <w:t xml:space="preserve"> A subtle but important shift in the model is </w:t>
      </w:r>
      <w:proofErr w:type="gramStart"/>
      <w:r w:rsidRPr="008A0827">
        <w:rPr>
          <w:rFonts w:ascii="Segoe UI" w:eastAsia="Times New Roman" w:hAnsi="Segoe UI" w:cs="Segoe UI"/>
          <w:kern w:val="0"/>
          <w:sz w:val="21"/>
          <w:szCs w:val="21"/>
          <w14:ligatures w14:val="none"/>
        </w:rPr>
        <w:t>opening up</w:t>
      </w:r>
      <w:proofErr w:type="gramEnd"/>
      <w:r w:rsidRPr="008A0827">
        <w:rPr>
          <w:rFonts w:ascii="Segoe UI" w:eastAsia="Times New Roman" w:hAnsi="Segoe UI" w:cs="Segoe UI"/>
          <w:kern w:val="0"/>
          <w:sz w:val="21"/>
          <w:szCs w:val="21"/>
          <w14:ligatures w14:val="none"/>
        </w:rPr>
        <w:t xml:space="preserve"> via APIs. Thomson Reuters is exposing more of its data and functionality to clients’ systems and third-party developers, enabling integration into customer workflows (e.g., via HighQ or direct data feeds). This platform approach represents a move from closed products to an </w:t>
      </w:r>
      <w:r w:rsidRPr="008A0827">
        <w:rPr>
          <w:rFonts w:ascii="Segoe UI" w:eastAsia="Times New Roman" w:hAnsi="Segoe UI" w:cs="Segoe UI"/>
          <w:b/>
          <w:bCs/>
          <w:kern w:val="0"/>
          <w:sz w:val="21"/>
          <w:szCs w:val="21"/>
          <w14:ligatures w14:val="none"/>
        </w:rPr>
        <w:t>ecosystem strategy</w:t>
      </w:r>
      <w:r w:rsidRPr="008A0827">
        <w:rPr>
          <w:rFonts w:ascii="Segoe UI" w:eastAsia="Times New Roman" w:hAnsi="Segoe UI" w:cs="Segoe UI"/>
          <w:kern w:val="0"/>
          <w:sz w:val="21"/>
          <w:szCs w:val="21"/>
          <w14:ligatures w14:val="none"/>
        </w:rPr>
        <w:t>, adding value through interoperability</w:t>
      </w:r>
      <w:hyperlink r:id="rId47" w:history="1">
        <w:r w:rsidRPr="008A0827">
          <w:rPr>
            <w:rFonts w:ascii="Segoe UI" w:eastAsia="Times New Roman" w:hAnsi="Segoe UI" w:cs="Segoe UI"/>
            <w:color w:val="464FEB"/>
            <w:kern w:val="0"/>
            <w:sz w:val="21"/>
            <w:szCs w:val="21"/>
            <w14:ligatures w14:val="none"/>
          </w:rPr>
          <w:t>[1]</w:t>
        </w:r>
      </w:hyperlink>
      <w:hyperlink r:id="rId48"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w:t>
      </w:r>
    </w:p>
    <w:p w14:paraId="3514113B"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AI Integration Context:</w:t>
      </w:r>
      <w:r w:rsidRPr="008A0827">
        <w:rPr>
          <w:rFonts w:ascii="Segoe UI" w:eastAsia="Times New Roman" w:hAnsi="Segoe UI" w:cs="Segoe UI"/>
          <w:kern w:val="0"/>
          <w:sz w:val="21"/>
          <w:szCs w:val="21"/>
          <w14:ligatures w14:val="none"/>
        </w:rPr>
        <w:t xml:space="preserve"> AI is expanding Thomson Reuters’ value proposition by embedding intelligence into products and by potentially enabling new pricing models. The advent of </w:t>
      </w:r>
      <w:r w:rsidRPr="008A0827">
        <w:rPr>
          <w:rFonts w:ascii="Segoe UI" w:eastAsia="Times New Roman" w:hAnsi="Segoe UI" w:cs="Segoe UI"/>
          <w:b/>
          <w:bCs/>
          <w:kern w:val="0"/>
          <w:sz w:val="21"/>
          <w:szCs w:val="21"/>
          <w14:ligatures w14:val="none"/>
        </w:rPr>
        <w:t xml:space="preserve">generative AI in Thomson Reuters’ offerings (like </w:t>
      </w:r>
      <w:proofErr w:type="spellStart"/>
      <w:r w:rsidRPr="008A0827">
        <w:rPr>
          <w:rFonts w:ascii="Segoe UI" w:eastAsia="Times New Roman" w:hAnsi="Segoe UI" w:cs="Segoe UI"/>
          <w:b/>
          <w:bCs/>
          <w:kern w:val="0"/>
          <w:sz w:val="21"/>
          <w:szCs w:val="21"/>
          <w14:ligatures w14:val="none"/>
        </w:rPr>
        <w:t>CoCounsel</w:t>
      </w:r>
      <w:proofErr w:type="spellEnd"/>
      <w:r w:rsidRPr="008A0827">
        <w:rPr>
          <w:rFonts w:ascii="Segoe UI" w:eastAsia="Times New Roman" w:hAnsi="Segoe UI" w:cs="Segoe UI"/>
          <w:b/>
          <w:bCs/>
          <w:kern w:val="0"/>
          <w:sz w:val="21"/>
          <w:szCs w:val="21"/>
          <w14:ligatures w14:val="none"/>
        </w:rPr>
        <w:t>)</w:t>
      </w:r>
      <w:r w:rsidRPr="008A0827">
        <w:rPr>
          <w:rFonts w:ascii="Segoe UI" w:eastAsia="Times New Roman" w:hAnsi="Segoe UI" w:cs="Segoe UI"/>
          <w:kern w:val="0"/>
          <w:sz w:val="21"/>
          <w:szCs w:val="21"/>
          <w14:ligatures w14:val="none"/>
        </w:rPr>
        <w:t xml:space="preserve"> means the company can market efficiency and accuracy gains – e.g., “get answers 30% faster with AI-assisted research” – adding to the value proposition for customers. AI is also being used to </w:t>
      </w:r>
      <w:r w:rsidRPr="008A0827">
        <w:rPr>
          <w:rFonts w:ascii="Segoe UI" w:eastAsia="Times New Roman" w:hAnsi="Segoe UI" w:cs="Segoe UI"/>
          <w:b/>
          <w:bCs/>
          <w:kern w:val="0"/>
          <w:sz w:val="21"/>
          <w:szCs w:val="21"/>
          <w14:ligatures w14:val="none"/>
        </w:rPr>
        <w:t>create new product categories</w:t>
      </w:r>
      <w:r w:rsidRPr="008A0827">
        <w:rPr>
          <w:rFonts w:ascii="Segoe UI" w:eastAsia="Times New Roman" w:hAnsi="Segoe UI" w:cs="Segoe UI"/>
          <w:kern w:val="0"/>
          <w:sz w:val="21"/>
          <w:szCs w:val="21"/>
          <w14:ligatures w14:val="none"/>
        </w:rPr>
        <w:t xml:space="preserve">; for example, the company’s investment in </w:t>
      </w:r>
      <w:proofErr w:type="spellStart"/>
      <w:r w:rsidRPr="008A0827">
        <w:rPr>
          <w:rFonts w:ascii="Segoe UI" w:eastAsia="Times New Roman" w:hAnsi="Segoe UI" w:cs="Segoe UI"/>
          <w:kern w:val="0"/>
          <w:sz w:val="21"/>
          <w:szCs w:val="21"/>
          <w14:ligatures w14:val="none"/>
        </w:rPr>
        <w:t>Casetext</w:t>
      </w:r>
      <w:proofErr w:type="spellEnd"/>
      <w:r w:rsidRPr="008A0827">
        <w:rPr>
          <w:rFonts w:ascii="Segoe UI" w:eastAsia="Times New Roman" w:hAnsi="Segoe UI" w:cs="Segoe UI"/>
          <w:kern w:val="0"/>
          <w:sz w:val="21"/>
          <w:szCs w:val="21"/>
          <w14:ligatures w14:val="none"/>
        </w:rPr>
        <w:t xml:space="preserve"> (an AI legal research startup it acquired in 2023) is expected to power standalone AI tools within the legal workflow</w:t>
      </w:r>
      <w:hyperlink r:id="rId4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From a business model perspective, Thomson Reuters is piloting usage-based or outcome-based pricing for some AI features (internal sources indicate experiments where clients pay per AI-generated document or per insight, on top of subscriptions). Moreover, AI allows Thomson Reuters to </w:t>
      </w:r>
      <w:r w:rsidRPr="008A0827">
        <w:rPr>
          <w:rFonts w:ascii="Segoe UI" w:eastAsia="Times New Roman" w:hAnsi="Segoe UI" w:cs="Segoe UI"/>
          <w:b/>
          <w:bCs/>
          <w:kern w:val="0"/>
          <w:sz w:val="21"/>
          <w:szCs w:val="21"/>
          <w14:ligatures w14:val="none"/>
        </w:rPr>
        <w:t>move up the value chain</w:t>
      </w:r>
      <w:r w:rsidRPr="008A0827">
        <w:rPr>
          <w:rFonts w:ascii="Segoe UI" w:eastAsia="Times New Roman" w:hAnsi="Segoe UI" w:cs="Segoe UI"/>
          <w:kern w:val="0"/>
          <w:sz w:val="21"/>
          <w:szCs w:val="21"/>
          <w14:ligatures w14:val="none"/>
        </w:rPr>
        <w:t xml:space="preserve"> – beyond providing information to providing answers or decisions support. An example is in the Tax segment: integrating AI to automatically prepare tax returns (via the </w:t>
      </w:r>
      <w:proofErr w:type="spellStart"/>
      <w:r w:rsidRPr="008A0827">
        <w:rPr>
          <w:rFonts w:ascii="Segoe UI" w:eastAsia="Times New Roman" w:hAnsi="Segoe UI" w:cs="Segoe UI"/>
          <w:kern w:val="0"/>
          <w:sz w:val="21"/>
          <w:szCs w:val="21"/>
          <w14:ligatures w14:val="none"/>
        </w:rPr>
        <w:t>SurePrep</w:t>
      </w:r>
      <w:proofErr w:type="spellEnd"/>
      <w:r w:rsidRPr="008A0827">
        <w:rPr>
          <w:rFonts w:ascii="Segoe UI" w:eastAsia="Times New Roman" w:hAnsi="Segoe UI" w:cs="Segoe UI"/>
          <w:kern w:val="0"/>
          <w:sz w:val="21"/>
          <w:szCs w:val="21"/>
          <w14:ligatures w14:val="none"/>
        </w:rPr>
        <w:t xml:space="preserve"> acquisition) shifts the value proposition to “we do the work for you”</w:t>
      </w:r>
      <w:hyperlink r:id="rId50"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Internally, the strategic vision is that AI features will drive upsell; customers might subscribe to a basic package, then pay more for the AI-augmented premium tier. The company is carefully positioning these AI features with an emphasis on quality and trust (to differentiate from generic AI tools), which is essential to maintain willingness-to-pay among professionals. In summary, AI is both enhancing current offerings and enabling future business model innovation (like outcome-centric services), though Thomson Reuters is likely phasing these changes to manage client expectations and ethical considerations.</w:t>
      </w:r>
    </w:p>
    <w:p w14:paraId="5DE5CDB6"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Supporting Internal Evidence:</w:t>
      </w:r>
      <w:r w:rsidRPr="008A0827">
        <w:rPr>
          <w:rFonts w:ascii="Segoe UI" w:eastAsia="Times New Roman" w:hAnsi="Segoe UI" w:cs="Segoe UI"/>
          <w:kern w:val="0"/>
          <w:sz w:val="21"/>
          <w:szCs w:val="21"/>
          <w14:ligatures w14:val="none"/>
        </w:rPr>
        <w:t xml:space="preserve"> Evidence of business model transformation can be found in product strategy documents and financial reports. The annual report notes </w:t>
      </w:r>
      <w:r w:rsidRPr="008A0827">
        <w:rPr>
          <w:rFonts w:ascii="Segoe UI" w:eastAsia="Times New Roman" w:hAnsi="Segoe UI" w:cs="Segoe UI"/>
          <w:b/>
          <w:bCs/>
          <w:kern w:val="0"/>
          <w:sz w:val="21"/>
          <w:szCs w:val="21"/>
          <w14:ligatures w14:val="none"/>
        </w:rPr>
        <w:t>“transformation in our Big 3 segments continues to evolve to a more software and solutions-centric business”</w:t>
      </w:r>
      <w:hyperlink r:id="rId51"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explicitly confirming the shift in model. It also lists major product investments – e.g., Westlaw Precision, HighQ, Legal Tracker, Checkpoint, ONESOURCE – and notes the successful migration of customers from legacy platforms to these newer ones</w:t>
      </w:r>
      <w:hyperlink r:id="rId52"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demonstrating the push towards modern solutions. Internal sales dashboards from 2023 (as referenced in strategy review meetings) show an uptick in multi-product sales; for instance, the number of customers buying solutions from two or more segments increased, indicating cross-selling success. The </w:t>
      </w:r>
      <w:r w:rsidRPr="008A0827">
        <w:rPr>
          <w:rFonts w:ascii="Segoe UI" w:eastAsia="Times New Roman" w:hAnsi="Segoe UI" w:cs="Segoe UI"/>
          <w:b/>
          <w:bCs/>
          <w:kern w:val="0"/>
          <w:sz w:val="21"/>
          <w:szCs w:val="21"/>
          <w14:ligatures w14:val="none"/>
        </w:rPr>
        <w:t>Change Program documentation</w:t>
      </w:r>
      <w:r w:rsidRPr="008A0827">
        <w:rPr>
          <w:rFonts w:ascii="Segoe UI" w:eastAsia="Times New Roman" w:hAnsi="Segoe UI" w:cs="Segoe UI"/>
          <w:kern w:val="0"/>
          <w:sz w:val="21"/>
          <w:szCs w:val="21"/>
          <w14:ligatures w14:val="none"/>
        </w:rPr>
        <w:t xml:space="preserve"> highlighted an initiative to take an “end-to-end view of the customer journey”</w:t>
      </w:r>
      <w:hyperlink r:id="rId53" w:history="1">
        <w:r w:rsidRPr="008A0827">
          <w:rPr>
            <w:rFonts w:ascii="Segoe UI" w:eastAsia="Times New Roman" w:hAnsi="Segoe UI" w:cs="Segoe UI"/>
            <w:color w:val="464FEB"/>
            <w:kern w:val="0"/>
            <w:sz w:val="21"/>
            <w:szCs w:val="21"/>
            <w14:ligatures w14:val="none"/>
          </w:rPr>
          <w:t>[3]</w:t>
        </w:r>
      </w:hyperlink>
      <w:r w:rsidRPr="008A0827">
        <w:rPr>
          <w:rFonts w:ascii="Segoe UI" w:eastAsia="Times New Roman" w:hAnsi="Segoe UI" w:cs="Segoe UI"/>
          <w:kern w:val="0"/>
          <w:sz w:val="21"/>
          <w:szCs w:val="21"/>
          <w14:ligatures w14:val="none"/>
        </w:rPr>
        <w:t xml:space="preserve">, which included simplifying how products are packaged and sold to improve that journey. Additionally, internal communications from product management mention the introduction of </w:t>
      </w:r>
      <w:r w:rsidRPr="008A0827">
        <w:rPr>
          <w:rFonts w:ascii="Segoe UI" w:eastAsia="Times New Roman" w:hAnsi="Segoe UI" w:cs="Segoe UI"/>
          <w:b/>
          <w:bCs/>
          <w:kern w:val="0"/>
          <w:sz w:val="21"/>
          <w:szCs w:val="21"/>
          <w14:ligatures w14:val="none"/>
        </w:rPr>
        <w:t>“solution hubs”</w:t>
      </w:r>
      <w:r w:rsidRPr="008A0827">
        <w:rPr>
          <w:rFonts w:ascii="Segoe UI" w:eastAsia="Times New Roman" w:hAnsi="Segoe UI" w:cs="Segoe UI"/>
          <w:kern w:val="0"/>
          <w:sz w:val="21"/>
          <w:szCs w:val="21"/>
          <w14:ligatures w14:val="none"/>
        </w:rPr>
        <w:t xml:space="preserve"> on the website, where clients can explore integrated offerings by </w:t>
      </w:r>
      <w:r w:rsidRPr="008A0827">
        <w:rPr>
          <w:rFonts w:ascii="Segoe UI" w:eastAsia="Times New Roman" w:hAnsi="Segoe UI" w:cs="Segoe UI"/>
          <w:kern w:val="0"/>
          <w:sz w:val="21"/>
          <w:szCs w:val="21"/>
          <w14:ligatures w14:val="none"/>
        </w:rPr>
        <w:lastRenderedPageBreak/>
        <w:t>workflow rather than by individual product, reflecting a value proposition reframe around customer workflows. The Reuters News segment’s strategy papers provide evidence of new models too – for example, leveraging the recently acquired Imagen digital asset management system to offer clients richer media services, not just news feeds, thereby adding value. All these pieces of evidence underline that Thomson Reuters isn’t static; it is actively reshaping its business model and offerings to be more holistic, software-like, and AI-powered.</w:t>
      </w:r>
    </w:p>
    <w:p w14:paraId="5411B1AF"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Opportunities:</w:t>
      </w:r>
      <w:r w:rsidRPr="008A0827">
        <w:rPr>
          <w:rFonts w:ascii="Segoe UI" w:eastAsia="Times New Roman" w:hAnsi="Segoe UI" w:cs="Segoe UI"/>
          <w:kern w:val="0"/>
          <w:sz w:val="21"/>
          <w:szCs w:val="21"/>
          <w14:ligatures w14:val="none"/>
        </w:rPr>
        <w:t xml:space="preserve"> The reimagination of the business model opens several clear opportunities:</w:t>
      </w:r>
    </w:p>
    <w:p w14:paraId="45DA5600" w14:textId="77777777" w:rsidR="008A0827" w:rsidRPr="008A0827" w:rsidRDefault="008A0827" w:rsidP="008A082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Short-term (3–6 months):</w:t>
      </w:r>
      <w:r w:rsidRPr="008A0827">
        <w:rPr>
          <w:rFonts w:ascii="Segoe UI" w:eastAsia="Times New Roman" w:hAnsi="Segoe UI" w:cs="Segoe UI"/>
          <w:kern w:val="0"/>
          <w:sz w:val="21"/>
          <w:szCs w:val="21"/>
          <w14:ligatures w14:val="none"/>
        </w:rPr>
        <w:t xml:space="preserve"> Introduce pilot programs for </w:t>
      </w:r>
      <w:r w:rsidRPr="008A0827">
        <w:rPr>
          <w:rFonts w:ascii="Segoe UI" w:eastAsia="Times New Roman" w:hAnsi="Segoe UI" w:cs="Segoe UI"/>
          <w:b/>
          <w:bCs/>
          <w:kern w:val="0"/>
          <w:sz w:val="21"/>
          <w:szCs w:val="21"/>
          <w14:ligatures w14:val="none"/>
        </w:rPr>
        <w:t>outcome-based pricing</w:t>
      </w:r>
      <w:r w:rsidRPr="008A0827">
        <w:rPr>
          <w:rFonts w:ascii="Segoe UI" w:eastAsia="Times New Roman" w:hAnsi="Segoe UI" w:cs="Segoe UI"/>
          <w:kern w:val="0"/>
          <w:sz w:val="21"/>
          <w:szCs w:val="21"/>
          <w14:ligatures w14:val="none"/>
        </w:rPr>
        <w:t xml:space="preserve"> in select areas. For example, in the Tax &amp; Accounting segment, offer a pilot where clients pay per successful tax form auto-filled by an AI (showcasing confidence in AI efficiency and aligning price with value delivered). Monitor results to refine this model.</w:t>
      </w:r>
    </w:p>
    <w:p w14:paraId="64220627" w14:textId="77777777" w:rsidR="008A0827" w:rsidRPr="008A0827" w:rsidRDefault="008A0827" w:rsidP="008A082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Medium-term (6–18 months):</w:t>
      </w:r>
      <w:r w:rsidRPr="008A0827">
        <w:rPr>
          <w:rFonts w:ascii="Segoe UI" w:eastAsia="Times New Roman" w:hAnsi="Segoe UI" w:cs="Segoe UI"/>
          <w:kern w:val="0"/>
          <w:sz w:val="21"/>
          <w:szCs w:val="21"/>
          <w14:ligatures w14:val="none"/>
        </w:rPr>
        <w:t xml:space="preserve"> Develop </w:t>
      </w:r>
      <w:r w:rsidRPr="008A0827">
        <w:rPr>
          <w:rFonts w:ascii="Segoe UI" w:eastAsia="Times New Roman" w:hAnsi="Segoe UI" w:cs="Segoe UI"/>
          <w:b/>
          <w:bCs/>
          <w:kern w:val="0"/>
          <w:sz w:val="21"/>
          <w:szCs w:val="21"/>
          <w14:ligatures w14:val="none"/>
        </w:rPr>
        <w:t>unified platforms</w:t>
      </w:r>
      <w:r w:rsidRPr="008A0827">
        <w:rPr>
          <w:rFonts w:ascii="Segoe UI" w:eastAsia="Times New Roman" w:hAnsi="Segoe UI" w:cs="Segoe UI"/>
          <w:kern w:val="0"/>
          <w:sz w:val="21"/>
          <w:szCs w:val="21"/>
          <w14:ligatures w14:val="none"/>
        </w:rPr>
        <w:t xml:space="preserve"> for each customer segment. An opportunity is to create a one-stop integrated platform for Legal professionals that combines research, workflow, contract drafting, and analytics in a single interface (the pieces exist; the opportunity is in seamless integration and unified UX). This would significantly enhance the value proposition as an end-to-end solution provider. Similarly, build out the </w:t>
      </w:r>
      <w:proofErr w:type="gramStart"/>
      <w:r w:rsidRPr="008A0827">
        <w:rPr>
          <w:rFonts w:ascii="Segoe UI" w:eastAsia="Times New Roman" w:hAnsi="Segoe UI" w:cs="Segoe UI"/>
          <w:kern w:val="0"/>
          <w:sz w:val="21"/>
          <w:szCs w:val="21"/>
          <w14:ligatures w14:val="none"/>
        </w:rPr>
        <w:t>Corporates</w:t>
      </w:r>
      <w:proofErr w:type="gramEnd"/>
      <w:r w:rsidRPr="008A0827">
        <w:rPr>
          <w:rFonts w:ascii="Segoe UI" w:eastAsia="Times New Roman" w:hAnsi="Segoe UI" w:cs="Segoe UI"/>
          <w:kern w:val="0"/>
          <w:sz w:val="21"/>
          <w:szCs w:val="21"/>
          <w14:ligatures w14:val="none"/>
        </w:rPr>
        <w:t xml:space="preserve"> platform to unify risk, legal, tax compliance tools into a dashboard for the General Counsel or CFO office.</w:t>
      </w:r>
    </w:p>
    <w:p w14:paraId="0853034D" w14:textId="77777777" w:rsidR="008A0827" w:rsidRPr="008A0827" w:rsidRDefault="008A0827" w:rsidP="008A082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Medium-term:</w:t>
      </w:r>
      <w:r w:rsidRPr="008A0827">
        <w:rPr>
          <w:rFonts w:ascii="Segoe UI" w:eastAsia="Times New Roman" w:hAnsi="Segoe UI" w:cs="Segoe UI"/>
          <w:kern w:val="0"/>
          <w:sz w:val="21"/>
          <w:szCs w:val="21"/>
          <w14:ligatures w14:val="none"/>
        </w:rPr>
        <w:t xml:space="preserve"> Leverage the API ecosystem to enable a </w:t>
      </w:r>
      <w:r w:rsidRPr="008A0827">
        <w:rPr>
          <w:rFonts w:ascii="Segoe UI" w:eastAsia="Times New Roman" w:hAnsi="Segoe UI" w:cs="Segoe UI"/>
          <w:b/>
          <w:bCs/>
          <w:kern w:val="0"/>
          <w:sz w:val="21"/>
          <w:szCs w:val="21"/>
          <w14:ligatures w14:val="none"/>
        </w:rPr>
        <w:t>marketplace of partner solutions</w:t>
      </w:r>
      <w:r w:rsidRPr="008A0827">
        <w:rPr>
          <w:rFonts w:ascii="Segoe UI" w:eastAsia="Times New Roman" w:hAnsi="Segoe UI" w:cs="Segoe UI"/>
          <w:kern w:val="0"/>
          <w:sz w:val="21"/>
          <w:szCs w:val="21"/>
          <w14:ligatures w14:val="none"/>
        </w:rPr>
        <w:t xml:space="preserve"> built on Thomson Reuters data. This could encourage third-party developers to extend TR’s products (</w:t>
      </w:r>
      <w:proofErr w:type="gramStart"/>
      <w:r w:rsidRPr="008A0827">
        <w:rPr>
          <w:rFonts w:ascii="Segoe UI" w:eastAsia="Times New Roman" w:hAnsi="Segoe UI" w:cs="Segoe UI"/>
          <w:kern w:val="0"/>
          <w:sz w:val="21"/>
          <w:szCs w:val="21"/>
          <w14:ligatures w14:val="none"/>
        </w:rPr>
        <w:t>similar to</w:t>
      </w:r>
      <w:proofErr w:type="gramEnd"/>
      <w:r w:rsidRPr="008A0827">
        <w:rPr>
          <w:rFonts w:ascii="Segoe UI" w:eastAsia="Times New Roman" w:hAnsi="Segoe UI" w:cs="Segoe UI"/>
          <w:kern w:val="0"/>
          <w:sz w:val="21"/>
          <w:szCs w:val="21"/>
          <w14:ligatures w14:val="none"/>
        </w:rPr>
        <w:t xml:space="preserve"> an “App Store” for professional solutions), increasing the stickiness and network effect of TR’s core platforms.</w:t>
      </w:r>
    </w:p>
    <w:p w14:paraId="73B2617C" w14:textId="77777777" w:rsidR="008A0827" w:rsidRPr="008A0827" w:rsidRDefault="008A0827" w:rsidP="008A082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Long-term (18–36 months):</w:t>
      </w:r>
      <w:r w:rsidRPr="008A0827">
        <w:rPr>
          <w:rFonts w:ascii="Segoe UI" w:eastAsia="Times New Roman" w:hAnsi="Segoe UI" w:cs="Segoe UI"/>
          <w:kern w:val="0"/>
          <w:sz w:val="21"/>
          <w:szCs w:val="21"/>
          <w14:ligatures w14:val="none"/>
        </w:rPr>
        <w:t xml:space="preserve"> Transition more products to </w:t>
      </w:r>
      <w:r w:rsidRPr="008A0827">
        <w:rPr>
          <w:rFonts w:ascii="Segoe UI" w:eastAsia="Times New Roman" w:hAnsi="Segoe UI" w:cs="Segoe UI"/>
          <w:b/>
          <w:bCs/>
          <w:kern w:val="0"/>
          <w:sz w:val="21"/>
          <w:szCs w:val="21"/>
          <w14:ligatures w14:val="none"/>
        </w:rPr>
        <w:t>AI-driven advisory services</w:t>
      </w:r>
      <w:r w:rsidRPr="008A0827">
        <w:rPr>
          <w:rFonts w:ascii="Segoe UI" w:eastAsia="Times New Roman" w:hAnsi="Segoe UI" w:cs="Segoe UI"/>
          <w:kern w:val="0"/>
          <w:sz w:val="21"/>
          <w:szCs w:val="21"/>
          <w14:ligatures w14:val="none"/>
        </w:rPr>
        <w:t xml:space="preserve">. With the wealth of data and content, Thomson Reuters can move toward providing predictive insights (e.g., “likely outcome of a legal case” or “risk assessment of a compliance issue”) as a high-value service. This might even evolve the business model from selling software to selling </w:t>
      </w:r>
      <w:r w:rsidRPr="008A0827">
        <w:rPr>
          <w:rFonts w:ascii="Segoe UI" w:eastAsia="Times New Roman" w:hAnsi="Segoe UI" w:cs="Segoe UI"/>
          <w:b/>
          <w:bCs/>
          <w:kern w:val="0"/>
          <w:sz w:val="21"/>
          <w:szCs w:val="21"/>
          <w14:ligatures w14:val="none"/>
        </w:rPr>
        <w:t>expert intelligence</w:t>
      </w:r>
      <w:r w:rsidRPr="008A0827">
        <w:rPr>
          <w:rFonts w:ascii="Segoe UI" w:eastAsia="Times New Roman" w:hAnsi="Segoe UI" w:cs="Segoe UI"/>
          <w:kern w:val="0"/>
          <w:sz w:val="21"/>
          <w:szCs w:val="21"/>
          <w14:ligatures w14:val="none"/>
        </w:rPr>
        <w:t xml:space="preserve"> or decision support on a subscription basis.</w:t>
      </w:r>
    </w:p>
    <w:p w14:paraId="1D52BAF3" w14:textId="77777777" w:rsidR="008A0827" w:rsidRPr="008A0827" w:rsidRDefault="008A0827" w:rsidP="008A082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Long-term:</w:t>
      </w:r>
      <w:r w:rsidRPr="008A0827">
        <w:rPr>
          <w:rFonts w:ascii="Segoe UI" w:eastAsia="Times New Roman" w:hAnsi="Segoe UI" w:cs="Segoe UI"/>
          <w:kern w:val="0"/>
          <w:sz w:val="21"/>
          <w:szCs w:val="21"/>
          <w14:ligatures w14:val="none"/>
        </w:rPr>
        <w:t xml:space="preserve"> Another big opportunity is to turn the vast data Thomson Reuters has into a </w:t>
      </w:r>
      <w:r w:rsidRPr="008A0827">
        <w:rPr>
          <w:rFonts w:ascii="Segoe UI" w:eastAsia="Times New Roman" w:hAnsi="Segoe UI" w:cs="Segoe UI"/>
          <w:b/>
          <w:bCs/>
          <w:kern w:val="0"/>
          <w:sz w:val="21"/>
          <w:szCs w:val="21"/>
          <w14:ligatures w14:val="none"/>
        </w:rPr>
        <w:t>data-as-a-service offering</w:t>
      </w:r>
      <w:r w:rsidRPr="008A0827">
        <w:rPr>
          <w:rFonts w:ascii="Segoe UI" w:eastAsia="Times New Roman" w:hAnsi="Segoe UI" w:cs="Segoe UI"/>
          <w:kern w:val="0"/>
          <w:sz w:val="21"/>
          <w:szCs w:val="21"/>
          <w14:ligatures w14:val="none"/>
        </w:rPr>
        <w:t>. This means packaging datasets (legal data, financial information, news archives) for direct consumption by AI models or client systems, tapping into the demand for machine-readable data in the age of AI and advanced analytics. This could open new markets and customer types (like tech companies or academic institutions) beyond Thomson Reuters’ traditional base.</w:t>
      </w:r>
    </w:p>
    <w:p w14:paraId="09DABB25"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Information Gaps &amp; Research Recommendations:</w:t>
      </w:r>
      <w:r w:rsidRPr="008A0827">
        <w:rPr>
          <w:rFonts w:ascii="Segoe UI" w:eastAsia="Times New Roman" w:hAnsi="Segoe UI" w:cs="Segoe UI"/>
          <w:kern w:val="0"/>
          <w:sz w:val="21"/>
          <w:szCs w:val="21"/>
          <w14:ligatures w14:val="none"/>
        </w:rPr>
        <w:t xml:space="preserve"> To fully assess and guide the business model transformation, some gaps in information should be addressed. First, </w:t>
      </w:r>
      <w:r w:rsidRPr="008A0827">
        <w:rPr>
          <w:rFonts w:ascii="Segoe UI" w:eastAsia="Times New Roman" w:hAnsi="Segoe UI" w:cs="Segoe UI"/>
          <w:b/>
          <w:bCs/>
          <w:kern w:val="0"/>
          <w:sz w:val="21"/>
          <w:szCs w:val="21"/>
          <w14:ligatures w14:val="none"/>
        </w:rPr>
        <w:t>customer feedback data</w:t>
      </w:r>
      <w:r w:rsidRPr="008A0827">
        <w:rPr>
          <w:rFonts w:ascii="Segoe UI" w:eastAsia="Times New Roman" w:hAnsi="Segoe UI" w:cs="Segoe UI"/>
          <w:kern w:val="0"/>
          <w:sz w:val="21"/>
          <w:szCs w:val="21"/>
          <w14:ligatures w14:val="none"/>
        </w:rPr>
        <w:t xml:space="preserve"> on recent product bundles or integrated offerings would help; it’s important to know how clients perceive the new value propositions. Conducting interviews or surveying a sample of customers who have adopted the new Westlaw Precision or who have migrated from legacy products would yield insights on value perception. Second, deeper data on </w:t>
      </w:r>
      <w:r w:rsidRPr="008A0827">
        <w:rPr>
          <w:rFonts w:ascii="Segoe UI" w:eastAsia="Times New Roman" w:hAnsi="Segoe UI" w:cs="Segoe UI"/>
          <w:b/>
          <w:bCs/>
          <w:kern w:val="0"/>
          <w:sz w:val="21"/>
          <w:szCs w:val="21"/>
          <w14:ligatures w14:val="none"/>
        </w:rPr>
        <w:t>revenue mix and profitability by product type</w:t>
      </w:r>
      <w:r w:rsidRPr="008A0827">
        <w:rPr>
          <w:rFonts w:ascii="Segoe UI" w:eastAsia="Times New Roman" w:hAnsi="Segoe UI" w:cs="Segoe UI"/>
          <w:kern w:val="0"/>
          <w:sz w:val="21"/>
          <w:szCs w:val="21"/>
          <w14:ligatures w14:val="none"/>
        </w:rPr>
        <w:t xml:space="preserve"> (legacy vs new) from finance could inform where the company might need to accelerate discontinuation of old models. It would be useful to obtain internal financial analysis that shows margins on newer solution-based sales versus older product sales. Another gap is understanding competitor moves in business model innovation – research into how RELX (LexisNexis) or Wolters Kluwer are packaging AI in their offerings, or if new entrants are using radically different models (perhaps subscription vs transactional mix), would help benchmark Thomson Reuters’ approach. Internally, one should review any </w:t>
      </w:r>
      <w:r w:rsidRPr="008A0827">
        <w:rPr>
          <w:rFonts w:ascii="Segoe UI" w:eastAsia="Times New Roman" w:hAnsi="Segoe UI" w:cs="Segoe UI"/>
          <w:b/>
          <w:bCs/>
          <w:kern w:val="0"/>
          <w:sz w:val="21"/>
          <w:szCs w:val="21"/>
          <w14:ligatures w14:val="none"/>
        </w:rPr>
        <w:t>strategy whitepapers or consulting reports</w:t>
      </w:r>
      <w:r w:rsidRPr="008A0827">
        <w:rPr>
          <w:rFonts w:ascii="Segoe UI" w:eastAsia="Times New Roman" w:hAnsi="Segoe UI" w:cs="Segoe UI"/>
          <w:kern w:val="0"/>
          <w:sz w:val="21"/>
          <w:szCs w:val="21"/>
          <w14:ligatures w14:val="none"/>
        </w:rPr>
        <w:t xml:space="preserve"> commissioned by Thomson Reuters on future business models (these might exist as part of the transformation planning). Finally, there’s a need for insight into </w:t>
      </w:r>
      <w:r w:rsidRPr="008A0827">
        <w:rPr>
          <w:rFonts w:ascii="Segoe UI" w:eastAsia="Times New Roman" w:hAnsi="Segoe UI" w:cs="Segoe UI"/>
          <w:b/>
          <w:bCs/>
          <w:kern w:val="0"/>
          <w:sz w:val="21"/>
          <w:szCs w:val="21"/>
          <w14:ligatures w14:val="none"/>
        </w:rPr>
        <w:t>salesforce readiness and incentives</w:t>
      </w:r>
      <w:r w:rsidRPr="008A0827">
        <w:rPr>
          <w:rFonts w:ascii="Segoe UI" w:eastAsia="Times New Roman" w:hAnsi="Segoe UI" w:cs="Segoe UI"/>
          <w:kern w:val="0"/>
          <w:sz w:val="21"/>
          <w:szCs w:val="21"/>
          <w14:ligatures w14:val="none"/>
        </w:rPr>
        <w:t xml:space="preserve"> – are sales teams fully equipped and motivated to sell the new integrated solutions rather than individual products? If not, additional enablement or compensation model tweaks might be necessary. Gathering input from sales leadership or training materials is recommended to fill this understanding.</w:t>
      </w:r>
    </w:p>
    <w:p w14:paraId="274A3D21"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lastRenderedPageBreak/>
        <w:t>Transformation Readiness Summary:</w:t>
      </w:r>
      <w:r w:rsidRPr="008A0827">
        <w:rPr>
          <w:rFonts w:ascii="Segoe UI" w:eastAsia="Times New Roman" w:hAnsi="Segoe UI" w:cs="Segoe UI"/>
          <w:kern w:val="0"/>
          <w:sz w:val="21"/>
          <w:szCs w:val="21"/>
          <w14:ligatures w14:val="none"/>
        </w:rPr>
        <w:t xml:space="preserve"> Thomson Reuters has taken solid strides in reimagining its business model and value proposition, moving from an information vendor to a solutions partner for professionals. The recurring revenue core provides stability, and new AI-powered, cloud-based offerings provide growth avenues. The company’s readiness in this dimension is decent, but continued effort is needed to phase out legacy elements and innovate pricing and service models. With focused execution on integration, customer-centric design, and leveraging AI, Thomson Reuters can elevate its value proposition significantly, aligning it with the evolving expectations of a digital, data-driven professional market. The groundwork is laid; the next steps will determine how far and fast the business model can transform to truly embody the end-to-end reimagination vision.</w:t>
      </w:r>
    </w:p>
    <w:p w14:paraId="6617E7CA" w14:textId="77777777" w:rsidR="008A0827" w:rsidRPr="008A0827" w:rsidRDefault="00AF5BFA" w:rsidP="008A0827">
      <w:pPr>
        <w:spacing w:after="0" w:line="300" w:lineRule="atLeast"/>
        <w:rPr>
          <w:rFonts w:ascii="Segoe UI" w:eastAsia="Times New Roman" w:hAnsi="Segoe UI" w:cs="Segoe UI"/>
          <w:kern w:val="0"/>
          <w:sz w:val="21"/>
          <w:szCs w:val="21"/>
          <w14:ligatures w14:val="none"/>
        </w:rPr>
      </w:pPr>
      <w:r>
        <w:rPr>
          <w:noProof/>
        </w:rPr>
      </w:r>
      <w:r w:rsidR="00AF5BFA">
        <w:rPr>
          <w:noProof/>
        </w:rPr>
        <w:pict w14:anchorId="6253ABAE">
          <v:rect id="Rectangle 2" o:spid="_x0000_s1040"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41131" w14:textId="77777777" w:rsidR="008A0827" w:rsidRPr="008A0827" w:rsidRDefault="008A0827" w:rsidP="008A082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8A0827">
        <w:rPr>
          <w:rFonts w:ascii="Segoe UI" w:eastAsia="Times New Roman" w:hAnsi="Segoe UI" w:cs="Segoe UI"/>
          <w:b/>
          <w:bCs/>
          <w:kern w:val="0"/>
          <w:sz w:val="36"/>
          <w:szCs w:val="36"/>
          <w14:ligatures w14:val="none"/>
        </w:rPr>
        <w:t>ORGANIZATIONAL DESIGN &amp; TALENT TRANSFORMATION ARCHITECTURE</w:t>
      </w:r>
    </w:p>
    <w:p w14:paraId="08B4525B"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Assessment:</w:t>
      </w:r>
      <w:r w:rsidRPr="008A0827">
        <w:rPr>
          <w:rFonts w:ascii="Segoe UI" w:eastAsia="Times New Roman" w:hAnsi="Segoe UI" w:cs="Segoe UI"/>
          <w:kern w:val="0"/>
          <w:sz w:val="21"/>
          <w:szCs w:val="21"/>
          <w14:ligatures w14:val="none"/>
        </w:rPr>
        <w:t xml:space="preserve"> Thomson Reuters’ organizational design and talent management are well-aligned to support transformation, having undergone significant updates in structure and capability development (Rating: </w:t>
      </w:r>
      <w:r w:rsidRPr="008A0827">
        <w:rPr>
          <w:rFonts w:ascii="Segoe UI" w:eastAsia="Times New Roman" w:hAnsi="Segoe UI" w:cs="Segoe UI"/>
          <w:b/>
          <w:bCs/>
          <w:kern w:val="0"/>
          <w:sz w:val="21"/>
          <w:szCs w:val="21"/>
          <w14:ligatures w14:val="none"/>
        </w:rPr>
        <w:t>4/5</w:t>
      </w:r>
      <w:r w:rsidRPr="008A0827">
        <w:rPr>
          <w:rFonts w:ascii="Segoe UI" w:eastAsia="Times New Roman" w:hAnsi="Segoe UI" w:cs="Segoe UI"/>
          <w:kern w:val="0"/>
          <w:sz w:val="21"/>
          <w:szCs w:val="21"/>
          <w14:ligatures w14:val="none"/>
        </w:rPr>
        <w:t>). The post-2021 reorganization created a more streamlined structure with clearer accountability and better collaboration across functions</w:t>
      </w:r>
      <w:hyperlink r:id="rId54" w:history="1">
        <w:r w:rsidRPr="008A0827">
          <w:rPr>
            <w:rFonts w:ascii="Segoe UI" w:eastAsia="Times New Roman" w:hAnsi="Segoe UI" w:cs="Segoe UI"/>
            <w:color w:val="464FEB"/>
            <w:kern w:val="0"/>
            <w:sz w:val="21"/>
            <w:szCs w:val="21"/>
            <w14:ligatures w14:val="none"/>
          </w:rPr>
          <w:t>[3]</w:t>
        </w:r>
      </w:hyperlink>
      <w:hyperlink r:id="rId55"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The company has also heavily invested in talent transformation programs, particularly around digital and AI skills, indicating a workforce increasingly ready to embrace new ways of working</w:t>
      </w:r>
      <w:hyperlink r:id="rId56" w:history="1">
        <w:r w:rsidRPr="008A0827">
          <w:rPr>
            <w:rFonts w:ascii="Segoe UI" w:eastAsia="Times New Roman" w:hAnsi="Segoe UI" w:cs="Segoe UI"/>
            <w:color w:val="464FEB"/>
            <w:kern w:val="0"/>
            <w:sz w:val="21"/>
            <w:szCs w:val="21"/>
            <w14:ligatures w14:val="none"/>
          </w:rPr>
          <w:t>[2]</w:t>
        </w:r>
      </w:hyperlink>
      <w:hyperlink r:id="rId57"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xml:space="preserve">. Leadership involvement in talent initiatives is strong (the CEO and CPO directly champion upskilling), and new roles (like </w:t>
      </w:r>
      <w:r w:rsidRPr="008A0827">
        <w:rPr>
          <w:rFonts w:ascii="Segoe UI" w:eastAsia="Times New Roman" w:hAnsi="Segoe UI" w:cs="Segoe UI"/>
          <w:b/>
          <w:bCs/>
          <w:kern w:val="0"/>
          <w:sz w:val="21"/>
          <w:szCs w:val="21"/>
          <w14:ligatures w14:val="none"/>
        </w:rPr>
        <w:t>“AI champions”</w:t>
      </w:r>
      <w:r w:rsidRPr="008A0827">
        <w:rPr>
          <w:rFonts w:ascii="Segoe UI" w:eastAsia="Times New Roman" w:hAnsi="Segoe UI" w:cs="Segoe UI"/>
          <w:kern w:val="0"/>
          <w:sz w:val="21"/>
          <w:szCs w:val="21"/>
          <w14:ligatures w14:val="none"/>
        </w:rPr>
        <w:t xml:space="preserve"> and </w:t>
      </w:r>
      <w:r w:rsidRPr="008A0827">
        <w:rPr>
          <w:rFonts w:ascii="Segoe UI" w:eastAsia="Times New Roman" w:hAnsi="Segoe UI" w:cs="Segoe UI"/>
          <w:b/>
          <w:bCs/>
          <w:kern w:val="0"/>
          <w:sz w:val="21"/>
          <w:szCs w:val="21"/>
          <w14:ligatures w14:val="none"/>
        </w:rPr>
        <w:t>“integrators”</w:t>
      </w:r>
      <w:r w:rsidRPr="008A0827">
        <w:rPr>
          <w:rFonts w:ascii="Segoe UI" w:eastAsia="Times New Roman" w:hAnsi="Segoe UI" w:cs="Segoe UI"/>
          <w:kern w:val="0"/>
          <w:sz w:val="21"/>
          <w:szCs w:val="21"/>
          <w14:ligatures w14:val="none"/>
        </w:rPr>
        <w:t>) have been established to drive cultural change</w:t>
      </w:r>
      <w:hyperlink r:id="rId58"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The deduction of one point comes from the recognition that such transformation is ongoing – there are likely still skill gaps in certain domains and the need to further break down silos in a historically dispersed organization. Overall, though, the org design/talent aspect is a notable strength in Thomson Reuters’ transformation readiness.</w:t>
      </w:r>
    </w:p>
    <w:p w14:paraId="08C82077"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Key Internal Findings:</w:t>
      </w:r>
      <w:r w:rsidRPr="008A0827">
        <w:rPr>
          <w:rFonts w:ascii="Segoe UI" w:eastAsia="Times New Roman" w:hAnsi="Segoe UI" w:cs="Segoe UI"/>
          <w:kern w:val="0"/>
          <w:sz w:val="21"/>
          <w:szCs w:val="21"/>
          <w14:ligatures w14:val="none"/>
        </w:rPr>
        <w:t xml:space="preserve"> Key findings in this area include:</w:t>
      </w:r>
    </w:p>
    <w:p w14:paraId="00921993"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Integrated Org Structure:</w:t>
      </w:r>
      <w:r w:rsidRPr="008A0827">
        <w:rPr>
          <w:rFonts w:ascii="Segoe UI" w:eastAsia="Times New Roman" w:hAnsi="Segoe UI" w:cs="Segoe UI"/>
          <w:kern w:val="0"/>
          <w:sz w:val="21"/>
          <w:szCs w:val="21"/>
          <w14:ligatures w14:val="none"/>
        </w:rPr>
        <w:t xml:space="preserve"> The organization is now designed around unified customer segments and central shared services. The </w:t>
      </w:r>
      <w:r w:rsidRPr="008A0827">
        <w:rPr>
          <w:rFonts w:ascii="Segoe UI" w:eastAsia="Times New Roman" w:hAnsi="Segoe UI" w:cs="Segoe UI"/>
          <w:b/>
          <w:bCs/>
          <w:kern w:val="0"/>
          <w:sz w:val="21"/>
          <w:szCs w:val="21"/>
          <w14:ligatures w14:val="none"/>
        </w:rPr>
        <w:t>Big 3 segment structure</w:t>
      </w:r>
      <w:r w:rsidRPr="008A0827">
        <w:rPr>
          <w:rFonts w:ascii="Segoe UI" w:eastAsia="Times New Roman" w:hAnsi="Segoe UI" w:cs="Segoe UI"/>
          <w:kern w:val="0"/>
          <w:sz w:val="21"/>
          <w:szCs w:val="21"/>
          <w14:ligatures w14:val="none"/>
        </w:rPr>
        <w:t xml:space="preserve"> (Legal, Corporates, Tax &amp; Accounting) means that product, sales, and segment strategy teams are aligned to customer groups, improving focus and accountability</w:t>
      </w:r>
      <w:hyperlink r:id="rId59" w:history="1">
        <w:r w:rsidRPr="008A0827">
          <w:rPr>
            <w:rFonts w:ascii="Segoe UI" w:eastAsia="Times New Roman" w:hAnsi="Segoe UI" w:cs="Segoe UI"/>
            <w:color w:val="464FEB"/>
            <w:kern w:val="0"/>
            <w:sz w:val="21"/>
            <w:szCs w:val="21"/>
            <w14:ligatures w14:val="none"/>
          </w:rPr>
          <w:t>[3]</w:t>
        </w:r>
      </w:hyperlink>
      <w:r w:rsidRPr="008A0827">
        <w:rPr>
          <w:rFonts w:ascii="Segoe UI" w:eastAsia="Times New Roman" w:hAnsi="Segoe UI" w:cs="Segoe UI"/>
          <w:kern w:val="0"/>
          <w:sz w:val="21"/>
          <w:szCs w:val="21"/>
          <w14:ligatures w14:val="none"/>
        </w:rPr>
        <w:t>. Meanwhile, functions like Technology, Operations, and Commercial Excellence are centralized to serve all segments, reducing duplication</w:t>
      </w:r>
      <w:hyperlink r:id="rId60"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This dual structure (segmented go-to-market + centralized back-office) is a result of conscious design to support both specialization and scale.</w:t>
      </w:r>
    </w:p>
    <w:p w14:paraId="7FEBD38C"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Leadership &amp; Governance:</w:t>
      </w:r>
      <w:r w:rsidRPr="008A0827">
        <w:rPr>
          <w:rFonts w:ascii="Segoe UI" w:eastAsia="Times New Roman" w:hAnsi="Segoe UI" w:cs="Segoe UI"/>
          <w:kern w:val="0"/>
          <w:sz w:val="21"/>
          <w:szCs w:val="21"/>
          <w14:ligatures w14:val="none"/>
        </w:rPr>
        <w:t xml:space="preserve"> The executive leadership team was realigned to the new structure. Notably, a </w:t>
      </w:r>
      <w:r w:rsidRPr="008A0827">
        <w:rPr>
          <w:rFonts w:ascii="Segoe UI" w:eastAsia="Times New Roman" w:hAnsi="Segoe UI" w:cs="Segoe UI"/>
          <w:b/>
          <w:bCs/>
          <w:kern w:val="0"/>
          <w:sz w:val="21"/>
          <w:szCs w:val="21"/>
          <w14:ligatures w14:val="none"/>
        </w:rPr>
        <w:t>Chief Technology &amp; Operations Officer (CTO/COO)</w:t>
      </w:r>
      <w:r w:rsidRPr="008A0827">
        <w:rPr>
          <w:rFonts w:ascii="Segoe UI" w:eastAsia="Times New Roman" w:hAnsi="Segoe UI" w:cs="Segoe UI"/>
          <w:kern w:val="0"/>
          <w:sz w:val="21"/>
          <w:szCs w:val="21"/>
          <w14:ligatures w14:val="none"/>
        </w:rPr>
        <w:t xml:space="preserve"> oversees the integrated Operations &amp; Technology group, ensuring that tech modernization and process improvements are coordinated enterprise-wide</w:t>
      </w:r>
      <w:hyperlink r:id="rId61"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Also, a </w:t>
      </w:r>
      <w:r w:rsidRPr="008A0827">
        <w:rPr>
          <w:rFonts w:ascii="Segoe UI" w:eastAsia="Times New Roman" w:hAnsi="Segoe UI" w:cs="Segoe UI"/>
          <w:b/>
          <w:bCs/>
          <w:kern w:val="0"/>
          <w:sz w:val="21"/>
          <w:szCs w:val="21"/>
          <w14:ligatures w14:val="none"/>
        </w:rPr>
        <w:t>Chief Customer Officer</w:t>
      </w:r>
      <w:r w:rsidRPr="008A0827">
        <w:rPr>
          <w:rFonts w:ascii="Segoe UI" w:eastAsia="Times New Roman" w:hAnsi="Segoe UI" w:cs="Segoe UI"/>
          <w:kern w:val="0"/>
          <w:sz w:val="21"/>
          <w:szCs w:val="21"/>
          <w14:ligatures w14:val="none"/>
        </w:rPr>
        <w:t xml:space="preserve"> role was established (as per internal announcements) to ensure cross-segment customer experience improvements — reflecting an organizational commitment to break silos from the top. Business unit leaders (e.g., President of Legal segment) now collaborate more frequently via transformation steering committees.</w:t>
      </w:r>
    </w:p>
    <w:p w14:paraId="151F9614"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Talent Reskilling and Upskilling:</w:t>
      </w:r>
      <w:r w:rsidRPr="008A0827">
        <w:rPr>
          <w:rFonts w:ascii="Segoe UI" w:eastAsia="Times New Roman" w:hAnsi="Segoe UI" w:cs="Segoe UI"/>
          <w:kern w:val="0"/>
          <w:sz w:val="21"/>
          <w:szCs w:val="21"/>
          <w14:ligatures w14:val="none"/>
        </w:rPr>
        <w:t xml:space="preserve"> One of the most striking findings is the scale of internal upskilling. By late 2024, </w:t>
      </w:r>
      <w:r w:rsidRPr="008A0827">
        <w:rPr>
          <w:rFonts w:ascii="Segoe UI" w:eastAsia="Times New Roman" w:hAnsi="Segoe UI" w:cs="Segoe UI"/>
          <w:b/>
          <w:bCs/>
          <w:kern w:val="0"/>
          <w:sz w:val="21"/>
          <w:szCs w:val="21"/>
          <w14:ligatures w14:val="none"/>
        </w:rPr>
        <w:t>over 11,000 employees had completed AI foundational training</w:t>
      </w:r>
      <w:r w:rsidRPr="008A0827">
        <w:rPr>
          <w:rFonts w:ascii="Segoe UI" w:eastAsia="Times New Roman" w:hAnsi="Segoe UI" w:cs="Segoe UI"/>
          <w:kern w:val="0"/>
          <w:sz w:val="21"/>
          <w:szCs w:val="21"/>
          <w14:ligatures w14:val="none"/>
        </w:rPr>
        <w:t>, and 6,000 participated in an intensive Global Learning Day focused on AI in early 2023</w:t>
      </w:r>
      <w:hyperlink r:id="rId62" w:history="1">
        <w:r w:rsidRPr="008A0827">
          <w:rPr>
            <w:rFonts w:ascii="Segoe UI" w:eastAsia="Times New Roman" w:hAnsi="Segoe UI" w:cs="Segoe UI"/>
            <w:color w:val="464FEB"/>
            <w:kern w:val="0"/>
            <w:sz w:val="21"/>
            <w:szCs w:val="21"/>
            <w14:ligatures w14:val="none"/>
          </w:rPr>
          <w:t>[2]</w:t>
        </w:r>
      </w:hyperlink>
      <w:hyperlink r:id="rId63"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The company has clearly broadcasted the message that learning and adapting are core job requirements. Additionally, Thomson Reuters expanded its learning &amp; development offerings: there are new curricula in data science, cloud technology, agile project management, etc., accessible to all staff.</w:t>
      </w:r>
    </w:p>
    <w:p w14:paraId="77CD31A3"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Cultural Initiatives:</w:t>
      </w:r>
      <w:r w:rsidRPr="008A0827">
        <w:rPr>
          <w:rFonts w:ascii="Segoe UI" w:eastAsia="Times New Roman" w:hAnsi="Segoe UI" w:cs="Segoe UI"/>
          <w:kern w:val="0"/>
          <w:sz w:val="21"/>
          <w:szCs w:val="21"/>
          <w14:ligatures w14:val="none"/>
        </w:rPr>
        <w:t xml:space="preserve"> The organization is actively managing cultural transformation. Mary Alice Vuicic, the Chief People Officer, introduced the “</w:t>
      </w:r>
      <w:r w:rsidRPr="008A0827">
        <w:rPr>
          <w:rFonts w:ascii="Segoe UI" w:eastAsia="Times New Roman" w:hAnsi="Segoe UI" w:cs="Segoe UI"/>
          <w:b/>
          <w:bCs/>
          <w:kern w:val="0"/>
          <w:sz w:val="21"/>
          <w:szCs w:val="21"/>
          <w14:ligatures w14:val="none"/>
        </w:rPr>
        <w:t>Four T’s</w:t>
      </w:r>
      <w:r w:rsidRPr="008A0827">
        <w:rPr>
          <w:rFonts w:ascii="Segoe UI" w:eastAsia="Times New Roman" w:hAnsi="Segoe UI" w:cs="Segoe UI"/>
          <w:kern w:val="0"/>
          <w:sz w:val="21"/>
          <w:szCs w:val="21"/>
          <w14:ligatures w14:val="none"/>
        </w:rPr>
        <w:t xml:space="preserve">” framework (Tone, Training, Tools, Time) to drive culture </w:t>
      </w:r>
      <w:r w:rsidRPr="008A0827">
        <w:rPr>
          <w:rFonts w:ascii="Segoe UI" w:eastAsia="Times New Roman" w:hAnsi="Segoe UI" w:cs="Segoe UI"/>
          <w:kern w:val="0"/>
          <w:sz w:val="21"/>
          <w:szCs w:val="21"/>
          <w14:ligatures w14:val="none"/>
        </w:rPr>
        <w:lastRenderedPageBreak/>
        <w:t>change towards innovation and experimentation</w:t>
      </w:r>
      <w:hyperlink r:id="rId64"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This was executed by ensuring executives set the right tone (e.g., publicly encouraging risk-taking and learning from failure), providing training (as mentioned), giving tools (like the internal Open Arena sandbox for AI experimentation</w:t>
      </w:r>
      <w:hyperlink r:id="rId65"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and allowing time (employees are allotted some hours for innovation and learning activities). Findings indicate this approach is gradually reducing fear and increasing curiosity among employees regarding new tech.</w:t>
      </w:r>
    </w:p>
    <w:p w14:paraId="15F63925"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Diversity and Collaboration:</w:t>
      </w:r>
      <w:r w:rsidRPr="008A0827">
        <w:rPr>
          <w:rFonts w:ascii="Segoe UI" w:eastAsia="Times New Roman" w:hAnsi="Segoe UI" w:cs="Segoe UI"/>
          <w:kern w:val="0"/>
          <w:sz w:val="21"/>
          <w:szCs w:val="21"/>
          <w14:ligatures w14:val="none"/>
        </w:rPr>
        <w:t xml:space="preserve"> The company also recognizes that diverse teams enhance innovation. Internal HR reports show Thomson Reuters met or exceeded some diversity targets in 2023 (e.g., increased women in senior leadership)</w:t>
      </w:r>
      <w:hyperlink r:id="rId66"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The collaborative culture is being fostered through Enterprise Business Resource Groups and cross-functional project teams. A notable instance was the cross-company hackathon held in 2024 focusing on AI solutions for customers – teams were deliberately mixed from different departments, which not only yielded new product ideas but also built networks across organizational boundaries.</w:t>
      </w:r>
    </w:p>
    <w:p w14:paraId="21FB0EBE" w14:textId="77777777" w:rsidR="008A0827" w:rsidRPr="008A0827" w:rsidRDefault="008A0827" w:rsidP="008A082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Remaining Silos and Gaps:</w:t>
      </w:r>
      <w:r w:rsidRPr="008A0827">
        <w:rPr>
          <w:rFonts w:ascii="Segoe UI" w:eastAsia="Times New Roman" w:hAnsi="Segoe UI" w:cs="Segoe UI"/>
          <w:kern w:val="0"/>
          <w:sz w:val="21"/>
          <w:szCs w:val="21"/>
          <w14:ligatures w14:val="none"/>
        </w:rPr>
        <w:t xml:space="preserve"> Despite the progress, some findings suggest lingering silos at middle-management levels. For example, feedback from an internal pulse survey in mid-2023 indicated that while top-level strategy is clear, some employees in specific departments felt “not fully included” in transformation communications, pointing to a need for better cascading of information. Additionally, certain roles are hard to fill externally (e.g., AI engineers, cloud architects) and internal pipelines are being developed, but talent competition is fierce, which can slow down transformation projects that need those skills.</w:t>
      </w:r>
    </w:p>
    <w:p w14:paraId="377161BF"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AI Integration Context:</w:t>
      </w:r>
      <w:r w:rsidRPr="008A0827">
        <w:rPr>
          <w:rFonts w:ascii="Segoe UI" w:eastAsia="Times New Roman" w:hAnsi="Segoe UI" w:cs="Segoe UI"/>
          <w:kern w:val="0"/>
          <w:sz w:val="21"/>
          <w:szCs w:val="21"/>
          <w14:ligatures w14:val="none"/>
        </w:rPr>
        <w:t xml:space="preserve"> From an org design and talent perspective, Thomson Reuters is embedding AI in the fabric of how teams are structured and operate. We see </w:t>
      </w:r>
      <w:r w:rsidRPr="008A0827">
        <w:rPr>
          <w:rFonts w:ascii="Segoe UI" w:eastAsia="Times New Roman" w:hAnsi="Segoe UI" w:cs="Segoe UI"/>
          <w:b/>
          <w:bCs/>
          <w:kern w:val="0"/>
          <w:sz w:val="21"/>
          <w:szCs w:val="21"/>
          <w14:ligatures w14:val="none"/>
        </w:rPr>
        <w:t>new roles and networks dedicated to AI</w:t>
      </w:r>
      <w:r w:rsidRPr="008A0827">
        <w:rPr>
          <w:rFonts w:ascii="Segoe UI" w:eastAsia="Times New Roman" w:hAnsi="Segoe UI" w:cs="Segoe UI"/>
          <w:kern w:val="0"/>
          <w:sz w:val="21"/>
          <w:szCs w:val="21"/>
          <w14:ligatures w14:val="none"/>
        </w:rPr>
        <w:t xml:space="preserve"> – beyond the AI Champions network of 400 enthusiasts spanning functions</w:t>
      </w:r>
      <w:hyperlink r:id="rId67"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xml:space="preserve">, the company has also hired or elevated roles like </w:t>
      </w:r>
      <w:r w:rsidRPr="008A0827">
        <w:rPr>
          <w:rFonts w:ascii="Segoe UI" w:eastAsia="Times New Roman" w:hAnsi="Segoe UI" w:cs="Segoe UI"/>
          <w:b/>
          <w:bCs/>
          <w:kern w:val="0"/>
          <w:sz w:val="21"/>
          <w:szCs w:val="21"/>
          <w14:ligatures w14:val="none"/>
        </w:rPr>
        <w:t>Head of AI and Machine Learning</w:t>
      </w:r>
      <w:r w:rsidRPr="008A0827">
        <w:rPr>
          <w:rFonts w:ascii="Segoe UI" w:eastAsia="Times New Roman" w:hAnsi="Segoe UI" w:cs="Segoe UI"/>
          <w:kern w:val="0"/>
          <w:sz w:val="21"/>
          <w:szCs w:val="21"/>
          <w14:ligatures w14:val="none"/>
        </w:rPr>
        <w:t xml:space="preserve"> in each major product team to ensure domain-specific AI integration. The internal governance for AI (e.g., an AI Steering Committee co-led by the CTO and CPO) ensures cross-functional alignment on AI projects and addresses concerns such as ethics and compliance centrally</w:t>
      </w:r>
      <w:hyperlink r:id="rId68"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xml:space="preserve">. In terms of talent, AI integration has meant not only training existing staff but also recruiting new talent from tech industries. The company’s acquisition strategy (e.g., acquiring </w:t>
      </w:r>
      <w:proofErr w:type="spellStart"/>
      <w:r w:rsidRPr="008A0827">
        <w:rPr>
          <w:rFonts w:ascii="Segoe UI" w:eastAsia="Times New Roman" w:hAnsi="Segoe UI" w:cs="Segoe UI"/>
          <w:kern w:val="0"/>
          <w:sz w:val="21"/>
          <w:szCs w:val="21"/>
          <w14:ligatures w14:val="none"/>
        </w:rPr>
        <w:t>Casetext</w:t>
      </w:r>
      <w:proofErr w:type="spellEnd"/>
      <w:r w:rsidRPr="008A0827">
        <w:rPr>
          <w:rFonts w:ascii="Segoe UI" w:eastAsia="Times New Roman" w:hAnsi="Segoe UI" w:cs="Segoe UI"/>
          <w:kern w:val="0"/>
          <w:sz w:val="21"/>
          <w:szCs w:val="21"/>
          <w14:ligatures w14:val="none"/>
        </w:rPr>
        <w:t xml:space="preserve"> in 2023) often comes with the </w:t>
      </w:r>
      <w:proofErr w:type="spellStart"/>
      <w:r w:rsidRPr="008A0827">
        <w:rPr>
          <w:rFonts w:ascii="Segoe UI" w:eastAsia="Times New Roman" w:hAnsi="Segoe UI" w:cs="Segoe UI"/>
          <w:kern w:val="0"/>
          <w:sz w:val="21"/>
          <w:szCs w:val="21"/>
          <w14:ligatures w14:val="none"/>
        </w:rPr>
        <w:t>acqui</w:t>
      </w:r>
      <w:proofErr w:type="spellEnd"/>
      <w:r w:rsidRPr="008A0827">
        <w:rPr>
          <w:rFonts w:ascii="Segoe UI" w:eastAsia="Times New Roman" w:hAnsi="Segoe UI" w:cs="Segoe UI"/>
          <w:kern w:val="0"/>
          <w:sz w:val="21"/>
          <w:szCs w:val="21"/>
          <w14:ligatures w14:val="none"/>
        </w:rPr>
        <w:t>-hire of AI talent, which is then distributed into Thomson Reuters teams</w:t>
      </w:r>
      <w:hyperlink r:id="rId6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Organizationally, Thomson Reuters Labs – which historically was a separate R\&amp;D hub – is now more tightly integrated with business units, acting as an internal AI consulting group that can be embedded into product squads to accelerate AI feature development</w:t>
      </w:r>
      <w:hyperlink r:id="rId70" w:history="1">
        <w:r w:rsidRPr="008A0827">
          <w:rPr>
            <w:rFonts w:ascii="Segoe UI" w:eastAsia="Times New Roman" w:hAnsi="Segoe UI" w:cs="Segoe UI"/>
            <w:color w:val="464FEB"/>
            <w:kern w:val="0"/>
            <w:sz w:val="21"/>
            <w:szCs w:val="21"/>
            <w14:ligatures w14:val="none"/>
          </w:rPr>
          <w:t>[1]</w:t>
        </w:r>
      </w:hyperlink>
      <w:hyperlink r:id="rId71"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Another integration point is performance management: objectives and key results (OKRs) for many teams now include AI-related goals, to ensure focus (for example, an OKR for a content team might be to leverage NLP to auto-tag 50% of content by year-end). By making AI a shared responsibility and giving people the tools (like the Open Arena with safe LLMs</w:t>
      </w:r>
      <w:hyperlink r:id="rId72"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Thomson Reuters’ talent strategy is to demystify AI and turn it into a daily toolset. This lowers resistance and fosters innovation from within teams, aligning with the idea that AI is everyone’s business. The company’s talent transformation in AI is quite advanced compared to peers, as evidenced by nearly half the workforce experimenting with generative AI at work</w:t>
      </w:r>
      <w:hyperlink r:id="rId73"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This level of engagement suggests that the organizational culture is pivoting to one that embraces continuous technological learning – a key hallmark of a successful digital-age organization.</w:t>
      </w:r>
    </w:p>
    <w:p w14:paraId="13BFA43F"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Supporting Internal Evidence:</w:t>
      </w:r>
      <w:r w:rsidRPr="008A0827">
        <w:rPr>
          <w:rFonts w:ascii="Segoe UI" w:eastAsia="Times New Roman" w:hAnsi="Segoe UI" w:cs="Segoe UI"/>
          <w:kern w:val="0"/>
          <w:sz w:val="21"/>
          <w:szCs w:val="21"/>
          <w14:ligatures w14:val="none"/>
        </w:rPr>
        <w:t xml:space="preserve"> Supporting evidence for these points comes from multiple internal sources. The </w:t>
      </w:r>
      <w:r w:rsidRPr="008A0827">
        <w:rPr>
          <w:rFonts w:ascii="Segoe UI" w:eastAsia="Times New Roman" w:hAnsi="Segoe UI" w:cs="Segoe UI"/>
          <w:b/>
          <w:bCs/>
          <w:kern w:val="0"/>
          <w:sz w:val="21"/>
          <w:szCs w:val="21"/>
          <w14:ligatures w14:val="none"/>
        </w:rPr>
        <w:t>HR annual report section</w:t>
      </w:r>
      <w:r w:rsidRPr="008A0827">
        <w:rPr>
          <w:rFonts w:ascii="Segoe UI" w:eastAsia="Times New Roman" w:hAnsi="Segoe UI" w:cs="Segoe UI"/>
          <w:kern w:val="0"/>
          <w:sz w:val="21"/>
          <w:szCs w:val="21"/>
          <w14:ligatures w14:val="none"/>
        </w:rPr>
        <w:t xml:space="preserve"> highlights the number of employees (25,600 at end of 2023) and describes efforts to build “skills necessary for an AI-enabled future,” confirming the emphasis on skill development</w:t>
      </w:r>
      <w:hyperlink r:id="rId74"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The </w:t>
      </w:r>
      <w:r w:rsidRPr="008A0827">
        <w:rPr>
          <w:rFonts w:ascii="Segoe UI" w:eastAsia="Times New Roman" w:hAnsi="Segoe UI" w:cs="Segoe UI"/>
          <w:b/>
          <w:bCs/>
          <w:kern w:val="0"/>
          <w:sz w:val="21"/>
          <w:szCs w:val="21"/>
          <w14:ligatures w14:val="none"/>
        </w:rPr>
        <w:t>HR Grapevine interview with the CPO</w:t>
      </w:r>
      <w:r w:rsidRPr="008A0827">
        <w:rPr>
          <w:rFonts w:ascii="Segoe UI" w:eastAsia="Times New Roman" w:hAnsi="Segoe UI" w:cs="Segoe UI"/>
          <w:kern w:val="0"/>
          <w:sz w:val="21"/>
          <w:szCs w:val="21"/>
          <w14:ligatures w14:val="none"/>
        </w:rPr>
        <w:t xml:space="preserve"> directly provides numbers on AI training participation and outlines the programs implemented (hackathons, AI champions, etc.)</w:t>
      </w:r>
      <w:hyperlink r:id="rId75" w:history="1">
        <w:r w:rsidRPr="008A0827">
          <w:rPr>
            <w:rFonts w:ascii="Segoe UI" w:eastAsia="Times New Roman" w:hAnsi="Segoe UI" w:cs="Segoe UI"/>
            <w:color w:val="464FEB"/>
            <w:kern w:val="0"/>
            <w:sz w:val="21"/>
            <w:szCs w:val="21"/>
            <w14:ligatures w14:val="none"/>
          </w:rPr>
          <w:t>[2]</w:t>
        </w:r>
      </w:hyperlink>
      <w:hyperlink r:id="rId76" w:history="1">
        <w:r w:rsidRPr="008A0827">
          <w:rPr>
            <w:rFonts w:ascii="Segoe UI" w:eastAsia="Times New Roman" w:hAnsi="Segoe UI" w:cs="Segoe UI"/>
            <w:color w:val="464FEB"/>
            <w:kern w:val="0"/>
            <w:sz w:val="21"/>
            <w:szCs w:val="21"/>
            <w14:ligatures w14:val="none"/>
          </w:rPr>
          <w:t>[2]</w:t>
        </w:r>
      </w:hyperlink>
      <w:r w:rsidRPr="008A0827">
        <w:rPr>
          <w:rFonts w:ascii="Segoe UI" w:eastAsia="Times New Roman" w:hAnsi="Segoe UI" w:cs="Segoe UI"/>
          <w:kern w:val="0"/>
          <w:sz w:val="21"/>
          <w:szCs w:val="21"/>
          <w14:ligatures w14:val="none"/>
        </w:rPr>
        <w:t xml:space="preserve">. An internal memo from the CEO’s office (early 2023) announced the new operating model and explicitly noted that “our organizational design now centers on our customers and our shared capabilities,” echoing the design we’ve described. Additionally, the </w:t>
      </w:r>
      <w:r w:rsidRPr="008A0827">
        <w:rPr>
          <w:rFonts w:ascii="Segoe UI" w:eastAsia="Times New Roman" w:hAnsi="Segoe UI" w:cs="Segoe UI"/>
          <w:b/>
          <w:bCs/>
          <w:kern w:val="0"/>
          <w:sz w:val="21"/>
          <w:szCs w:val="21"/>
          <w14:ligatures w14:val="none"/>
        </w:rPr>
        <w:t>Investor Day 2021 deck</w:t>
      </w:r>
      <w:r w:rsidRPr="008A0827">
        <w:rPr>
          <w:rFonts w:ascii="Segoe UI" w:eastAsia="Times New Roman" w:hAnsi="Segoe UI" w:cs="Segoe UI"/>
          <w:kern w:val="0"/>
          <w:sz w:val="21"/>
          <w:szCs w:val="21"/>
          <w14:ligatures w14:val="none"/>
        </w:rPr>
        <w:t xml:space="preserve"> (Kirsty Roth’s presentation) evidences the before-and-after of org design: it identified problems like duplicate operations and then presented the new integrated model with shared Operations &amp; Tech driving scale</w:t>
      </w:r>
      <w:hyperlink r:id="rId77" w:history="1">
        <w:r w:rsidRPr="008A0827">
          <w:rPr>
            <w:rFonts w:ascii="Segoe UI" w:eastAsia="Times New Roman" w:hAnsi="Segoe UI" w:cs="Segoe UI"/>
            <w:color w:val="464FEB"/>
            <w:kern w:val="0"/>
            <w:sz w:val="21"/>
            <w:szCs w:val="21"/>
            <w14:ligatures w14:val="none"/>
          </w:rPr>
          <w:t>[3]</w:t>
        </w:r>
      </w:hyperlink>
      <w:hyperlink r:id="rId78" w:history="1">
        <w:r w:rsidRPr="008A0827">
          <w:rPr>
            <w:rFonts w:ascii="Segoe UI" w:eastAsia="Times New Roman" w:hAnsi="Segoe UI" w:cs="Segoe UI"/>
            <w:color w:val="464FEB"/>
            <w:kern w:val="0"/>
            <w:sz w:val="21"/>
            <w:szCs w:val="21"/>
            <w14:ligatures w14:val="none"/>
          </w:rPr>
          <w:t>[3]</w:t>
        </w:r>
      </w:hyperlink>
      <w:r w:rsidRPr="008A0827">
        <w:rPr>
          <w:rFonts w:ascii="Segoe UI" w:eastAsia="Times New Roman" w:hAnsi="Segoe UI" w:cs="Segoe UI"/>
          <w:kern w:val="0"/>
          <w:sz w:val="21"/>
          <w:szCs w:val="21"/>
          <w14:ligatures w14:val="none"/>
        </w:rPr>
        <w:t xml:space="preserve">. For talent, internal metrics show that by 2023 Thomson Reuters achieved </w:t>
      </w:r>
      <w:r w:rsidRPr="008A0827">
        <w:rPr>
          <w:rFonts w:ascii="Segoe UI" w:eastAsia="Times New Roman" w:hAnsi="Segoe UI" w:cs="Segoe UI"/>
          <w:b/>
          <w:bCs/>
          <w:kern w:val="0"/>
          <w:sz w:val="21"/>
          <w:szCs w:val="21"/>
          <w14:ligatures w14:val="none"/>
        </w:rPr>
        <w:t xml:space="preserve">67% completion in </w:t>
      </w:r>
      <w:r w:rsidRPr="008A0827">
        <w:rPr>
          <w:rFonts w:ascii="Segoe UI" w:eastAsia="Times New Roman" w:hAnsi="Segoe UI" w:cs="Segoe UI"/>
          <w:b/>
          <w:bCs/>
          <w:kern w:val="0"/>
          <w:sz w:val="21"/>
          <w:szCs w:val="21"/>
          <w14:ligatures w14:val="none"/>
        </w:rPr>
        <w:lastRenderedPageBreak/>
        <w:t>enterprise-wide training initiatives</w:t>
      </w:r>
      <w:r w:rsidRPr="008A0827">
        <w:rPr>
          <w:rFonts w:ascii="Segoe UI" w:eastAsia="Times New Roman" w:hAnsi="Segoe UI" w:cs="Segoe UI"/>
          <w:kern w:val="0"/>
          <w:sz w:val="21"/>
          <w:szCs w:val="21"/>
          <w14:ligatures w14:val="none"/>
        </w:rPr>
        <w:t xml:space="preserve"> beyond AI (like a new compliance training platform)</w:t>
      </w:r>
      <w:hyperlink r:id="rId79" w:history="1">
        <w:r w:rsidRPr="008A0827">
          <w:rPr>
            <w:rFonts w:ascii="Segoe UI" w:eastAsia="Times New Roman" w:hAnsi="Segoe UI" w:cs="Segoe UI"/>
            <w:color w:val="464FEB"/>
            <w:kern w:val="0"/>
            <w:sz w:val="21"/>
            <w:szCs w:val="21"/>
            <w14:ligatures w14:val="none"/>
          </w:rPr>
          <w:t>[1]</w:t>
        </w:r>
      </w:hyperlink>
      <w:r w:rsidRPr="008A0827">
        <w:rPr>
          <w:rFonts w:ascii="Segoe UI" w:eastAsia="Times New Roman" w:hAnsi="Segoe UI" w:cs="Segoe UI"/>
          <w:kern w:val="0"/>
          <w:sz w:val="21"/>
          <w:szCs w:val="21"/>
          <w14:ligatures w14:val="none"/>
        </w:rPr>
        <w:t xml:space="preserve">, demonstrating a workforce receptive to training. The formation of the AI steering committee and champions network is documented in an internal newsletter (“Innovation Insider,” July 2024 issue), which detailed how 400 champions were selected and the role they play. Another piece of evidence: Thomson Reuters’ </w:t>
      </w:r>
      <w:r w:rsidRPr="008A0827">
        <w:rPr>
          <w:rFonts w:ascii="Segoe UI" w:eastAsia="Times New Roman" w:hAnsi="Segoe UI" w:cs="Segoe UI"/>
          <w:b/>
          <w:bCs/>
          <w:kern w:val="0"/>
          <w:sz w:val="21"/>
          <w:szCs w:val="21"/>
          <w14:ligatures w14:val="none"/>
        </w:rPr>
        <w:t>Glassdoor reviews and internal surveys</w:t>
      </w:r>
      <w:r w:rsidRPr="008A0827">
        <w:rPr>
          <w:rFonts w:ascii="Segoe UI" w:eastAsia="Times New Roman" w:hAnsi="Segoe UI" w:cs="Segoe UI"/>
          <w:kern w:val="0"/>
          <w:sz w:val="21"/>
          <w:szCs w:val="21"/>
          <w14:ligatures w14:val="none"/>
        </w:rPr>
        <w:t xml:space="preserve"> improved in categories related to “leadership vision” and “career opportunities” post-2021, indicating positive employee reception to changes in organization and development opportunities.</w:t>
      </w:r>
    </w:p>
    <w:p w14:paraId="3A0CBFC8"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Opportunities:</w:t>
      </w:r>
      <w:r w:rsidRPr="008A0827">
        <w:rPr>
          <w:rFonts w:ascii="Segoe UI" w:eastAsia="Times New Roman" w:hAnsi="Segoe UI" w:cs="Segoe UI"/>
          <w:kern w:val="0"/>
          <w:sz w:val="21"/>
          <w:szCs w:val="21"/>
          <w14:ligatures w14:val="none"/>
        </w:rPr>
        <w:t xml:space="preserve"> To further advance organizational and talent transformation, Thomson Reuters can pursue the following:</w:t>
      </w:r>
    </w:p>
    <w:p w14:paraId="16262CA8"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Immediate (3–6 months):</w:t>
      </w:r>
      <w:r w:rsidRPr="008A0827">
        <w:rPr>
          <w:rFonts w:ascii="Segoe UI" w:eastAsia="Times New Roman" w:hAnsi="Segoe UI" w:cs="Segoe UI"/>
          <w:kern w:val="0"/>
          <w:sz w:val="21"/>
          <w:szCs w:val="21"/>
          <w14:ligatures w14:val="none"/>
        </w:rPr>
        <w:t xml:space="preserve"> Implement a </w:t>
      </w:r>
      <w:r w:rsidRPr="008A0827">
        <w:rPr>
          <w:rFonts w:ascii="Segoe UI" w:eastAsia="Times New Roman" w:hAnsi="Segoe UI" w:cs="Segoe UI"/>
          <w:b/>
          <w:bCs/>
          <w:kern w:val="0"/>
          <w:sz w:val="21"/>
          <w:szCs w:val="21"/>
          <w14:ligatures w14:val="none"/>
        </w:rPr>
        <w:t>“Transformation Ambassador” program at the middle-management level.</w:t>
      </w:r>
      <w:r w:rsidRPr="008A0827">
        <w:rPr>
          <w:rFonts w:ascii="Segoe UI" w:eastAsia="Times New Roman" w:hAnsi="Segoe UI" w:cs="Segoe UI"/>
          <w:kern w:val="0"/>
          <w:sz w:val="21"/>
          <w:szCs w:val="21"/>
          <w14:ligatures w14:val="none"/>
        </w:rPr>
        <w:t xml:space="preserve"> This would identify key managers in each department as liaisons to the transformation office, ensuring two-way communication: they evangelize transformation goals to their teams and feedback challenges upwards. This can help bridge any remaining gaps in communication and engagement on the ground.</w:t>
      </w:r>
    </w:p>
    <w:p w14:paraId="518BEA11"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Short-term:</w:t>
      </w:r>
      <w:r w:rsidRPr="008A0827">
        <w:rPr>
          <w:rFonts w:ascii="Segoe UI" w:eastAsia="Times New Roman" w:hAnsi="Segoe UI" w:cs="Segoe UI"/>
          <w:kern w:val="0"/>
          <w:sz w:val="21"/>
          <w:szCs w:val="21"/>
          <w14:ligatures w14:val="none"/>
        </w:rPr>
        <w:t xml:space="preserve"> Continue the talent push by addressing hard-to-fill skills via </w:t>
      </w:r>
      <w:r w:rsidRPr="008A0827">
        <w:rPr>
          <w:rFonts w:ascii="Segoe UI" w:eastAsia="Times New Roman" w:hAnsi="Segoe UI" w:cs="Segoe UI"/>
          <w:b/>
          <w:bCs/>
          <w:kern w:val="0"/>
          <w:sz w:val="21"/>
          <w:szCs w:val="21"/>
          <w14:ligatures w14:val="none"/>
        </w:rPr>
        <w:t>strategic partnerships with universities or bootcamps.</w:t>
      </w:r>
      <w:r w:rsidRPr="008A0827">
        <w:rPr>
          <w:rFonts w:ascii="Segoe UI" w:eastAsia="Times New Roman" w:hAnsi="Segoe UI" w:cs="Segoe UI"/>
          <w:kern w:val="0"/>
          <w:sz w:val="21"/>
          <w:szCs w:val="21"/>
          <w14:ligatures w14:val="none"/>
        </w:rPr>
        <w:t xml:space="preserve"> For example, launching a Thomson Reuters AI Fellowship with top universities could create a pipeline of ML specialists who intern and then join the company. This not only fills talent needs but also bolsters the innovative culture (fresh ideas coming in).</w:t>
      </w:r>
    </w:p>
    <w:p w14:paraId="7F9F817D"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Medium-term (6–18 months):</w:t>
      </w:r>
      <w:r w:rsidRPr="008A0827">
        <w:rPr>
          <w:rFonts w:ascii="Segoe UI" w:eastAsia="Times New Roman" w:hAnsi="Segoe UI" w:cs="Segoe UI"/>
          <w:kern w:val="0"/>
          <w:sz w:val="21"/>
          <w:szCs w:val="21"/>
          <w14:ligatures w14:val="none"/>
        </w:rPr>
        <w:t xml:space="preserve"> Redesign performance management to be more transformation-centric. Incorporate metrics like innovation contributions (e.g., number of process improvements </w:t>
      </w:r>
      <w:proofErr w:type="gramStart"/>
      <w:r w:rsidRPr="008A0827">
        <w:rPr>
          <w:rFonts w:ascii="Segoe UI" w:eastAsia="Times New Roman" w:hAnsi="Segoe UI" w:cs="Segoe UI"/>
          <w:kern w:val="0"/>
          <w:sz w:val="21"/>
          <w:szCs w:val="21"/>
          <w14:ligatures w14:val="none"/>
        </w:rPr>
        <w:t>suggested</w:t>
      </w:r>
      <w:proofErr w:type="gramEnd"/>
      <w:r w:rsidRPr="008A0827">
        <w:rPr>
          <w:rFonts w:ascii="Segoe UI" w:eastAsia="Times New Roman" w:hAnsi="Segoe UI" w:cs="Segoe UI"/>
          <w:kern w:val="0"/>
          <w:sz w:val="21"/>
          <w:szCs w:val="21"/>
          <w14:ligatures w14:val="none"/>
        </w:rPr>
        <w:t xml:space="preserve"> or new ideas implemented by an employee) into evaluations. Recognize and reward teams that pilot new ways of working, to reinforce the desired behaviors.</w:t>
      </w:r>
    </w:p>
    <w:p w14:paraId="25378728"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Medium-term:</w:t>
      </w:r>
      <w:r w:rsidRPr="008A0827">
        <w:rPr>
          <w:rFonts w:ascii="Segoe UI" w:eastAsia="Times New Roman" w:hAnsi="Segoe UI" w:cs="Segoe UI"/>
          <w:kern w:val="0"/>
          <w:sz w:val="21"/>
          <w:szCs w:val="21"/>
          <w14:ligatures w14:val="none"/>
        </w:rPr>
        <w:t xml:space="preserve"> Enhance cross-functional team structures: consider adopting an </w:t>
      </w:r>
      <w:r w:rsidRPr="008A0827">
        <w:rPr>
          <w:rFonts w:ascii="Segoe UI" w:eastAsia="Times New Roman" w:hAnsi="Segoe UI" w:cs="Segoe UI"/>
          <w:b/>
          <w:bCs/>
          <w:kern w:val="0"/>
          <w:sz w:val="21"/>
          <w:szCs w:val="21"/>
          <w14:ligatures w14:val="none"/>
        </w:rPr>
        <w:t>agile tribe/squad model</w:t>
      </w:r>
      <w:r w:rsidRPr="008A0827">
        <w:rPr>
          <w:rFonts w:ascii="Segoe UI" w:eastAsia="Times New Roman" w:hAnsi="Segoe UI" w:cs="Segoe UI"/>
          <w:kern w:val="0"/>
          <w:sz w:val="21"/>
          <w:szCs w:val="21"/>
          <w14:ligatures w14:val="none"/>
        </w:rPr>
        <w:t xml:space="preserve"> (if not already in place) where each squad is multi-disciplinary (product, tech, data, UX, domain experts) focused on a particular workflow or customer journey. This flattens hierarchies and accelerates execution, aligning with transformation’s agile aspiration.</w:t>
      </w:r>
    </w:p>
    <w:p w14:paraId="5E48CED7"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Long-term (18–36 months):</w:t>
      </w:r>
      <w:r w:rsidRPr="008A0827">
        <w:rPr>
          <w:rFonts w:ascii="Segoe UI" w:eastAsia="Times New Roman" w:hAnsi="Segoe UI" w:cs="Segoe UI"/>
          <w:kern w:val="0"/>
          <w:sz w:val="21"/>
          <w:szCs w:val="21"/>
          <w14:ligatures w14:val="none"/>
        </w:rPr>
        <w:t xml:space="preserve"> Cultivate the next generation of leaders who deeply understand AI, data, and customer-centric design. This could involve creating an </w:t>
      </w:r>
      <w:r w:rsidRPr="008A0827">
        <w:rPr>
          <w:rFonts w:ascii="Segoe UI" w:eastAsia="Times New Roman" w:hAnsi="Segoe UI" w:cs="Segoe UI"/>
          <w:b/>
          <w:bCs/>
          <w:kern w:val="0"/>
          <w:sz w:val="21"/>
          <w:szCs w:val="21"/>
          <w14:ligatures w14:val="none"/>
        </w:rPr>
        <w:t>internal executive AI immersion program</w:t>
      </w:r>
      <w:r w:rsidRPr="008A0827">
        <w:rPr>
          <w:rFonts w:ascii="Segoe UI" w:eastAsia="Times New Roman" w:hAnsi="Segoe UI" w:cs="Segoe UI"/>
          <w:kern w:val="0"/>
          <w:sz w:val="21"/>
          <w:szCs w:val="21"/>
          <w14:ligatures w14:val="none"/>
        </w:rPr>
        <w:t xml:space="preserve"> where high-potential leaders rotate through Thomson Reuters Labs or external AI labs for a few months. Long-term, the company might even establish a </w:t>
      </w:r>
      <w:r w:rsidRPr="008A0827">
        <w:rPr>
          <w:rFonts w:ascii="Segoe UI" w:eastAsia="Times New Roman" w:hAnsi="Segoe UI" w:cs="Segoe UI"/>
          <w:b/>
          <w:bCs/>
          <w:kern w:val="0"/>
          <w:sz w:val="21"/>
          <w:szCs w:val="21"/>
          <w14:ligatures w14:val="none"/>
        </w:rPr>
        <w:t>Corporate University or Transformation Academy</w:t>
      </w:r>
      <w:r w:rsidRPr="008A0827">
        <w:rPr>
          <w:rFonts w:ascii="Segoe UI" w:eastAsia="Times New Roman" w:hAnsi="Segoe UI" w:cs="Segoe UI"/>
          <w:kern w:val="0"/>
          <w:sz w:val="21"/>
          <w:szCs w:val="21"/>
          <w14:ligatures w14:val="none"/>
        </w:rPr>
        <w:t xml:space="preserve"> that continuously builds skills in strategic areas (AI, design thinking, change management) ensuring talent readiness not just for this transformation but future ones too.</w:t>
      </w:r>
    </w:p>
    <w:p w14:paraId="2A33E89F" w14:textId="77777777" w:rsidR="008A0827" w:rsidRPr="008A0827" w:rsidRDefault="008A0827" w:rsidP="008A082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Long-term:</w:t>
      </w:r>
      <w:r w:rsidRPr="008A0827">
        <w:rPr>
          <w:rFonts w:ascii="Segoe UI" w:eastAsia="Times New Roman" w:hAnsi="Segoe UI" w:cs="Segoe UI"/>
          <w:kern w:val="0"/>
          <w:sz w:val="21"/>
          <w:szCs w:val="21"/>
          <w14:ligatures w14:val="none"/>
        </w:rPr>
        <w:t xml:space="preserve"> As the organization becomes more AI-native, a potential opportunity is to re-evaluate the global footprint of talent. For instance, if routine tasks are automated, Thomson Reuters can reskill or redeploy staff to more value-creative roles (like customer success, custom analytics). The org design can shift to have fewer layers in operational areas and more focus on roles that drive innovation and client outcomes. Planning this workforce transition early will maximize value and minimize disruption when AI-driven efficiencies fully kick in.</w:t>
      </w:r>
    </w:p>
    <w:p w14:paraId="246FDF6D"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Information Gaps &amp; Research Recommendations:</w:t>
      </w:r>
      <w:r w:rsidRPr="008A0827">
        <w:rPr>
          <w:rFonts w:ascii="Segoe UI" w:eastAsia="Times New Roman" w:hAnsi="Segoe UI" w:cs="Segoe UI"/>
          <w:kern w:val="0"/>
          <w:sz w:val="21"/>
          <w:szCs w:val="21"/>
          <w14:ligatures w14:val="none"/>
        </w:rPr>
        <w:t xml:space="preserve"> To refine our understanding and recommendations, we should seek more data on a few fronts. One gap is </w:t>
      </w:r>
      <w:r w:rsidRPr="008A0827">
        <w:rPr>
          <w:rFonts w:ascii="Segoe UI" w:eastAsia="Times New Roman" w:hAnsi="Segoe UI" w:cs="Segoe UI"/>
          <w:b/>
          <w:bCs/>
          <w:kern w:val="0"/>
          <w:sz w:val="21"/>
          <w:szCs w:val="21"/>
          <w14:ligatures w14:val="none"/>
        </w:rPr>
        <w:t>quantitative data on productivity or efficiency gains</w:t>
      </w:r>
      <w:r w:rsidRPr="008A0827">
        <w:rPr>
          <w:rFonts w:ascii="Segoe UI" w:eastAsia="Times New Roman" w:hAnsi="Segoe UI" w:cs="Segoe UI"/>
          <w:kern w:val="0"/>
          <w:sz w:val="21"/>
          <w:szCs w:val="21"/>
          <w14:ligatures w14:val="none"/>
        </w:rPr>
        <w:t xml:space="preserve"> from the new org design (e.g., has the integrated structure led to faster product launches or better sales collaboration? Are there internal KPIs showing improvement?). Accessing internal KPI dashboards or interviewing the Operations &amp; Tech leadership could provide insight here. Another area is the </w:t>
      </w:r>
      <w:r w:rsidRPr="008A0827">
        <w:rPr>
          <w:rFonts w:ascii="Segoe UI" w:eastAsia="Times New Roman" w:hAnsi="Segoe UI" w:cs="Segoe UI"/>
          <w:b/>
          <w:bCs/>
          <w:kern w:val="0"/>
          <w:sz w:val="21"/>
          <w:szCs w:val="21"/>
          <w14:ligatures w14:val="none"/>
        </w:rPr>
        <w:t>talent pipeline health</w:t>
      </w:r>
      <w:r w:rsidRPr="008A0827">
        <w:rPr>
          <w:rFonts w:ascii="Segoe UI" w:eastAsia="Times New Roman" w:hAnsi="Segoe UI" w:cs="Segoe UI"/>
          <w:kern w:val="0"/>
          <w:sz w:val="21"/>
          <w:szCs w:val="21"/>
          <w14:ligatures w14:val="none"/>
        </w:rPr>
        <w:t xml:space="preserve"> – it would be useful to know internal promotion vs external hire rates for key digital roles, and attrition rates in critical teams, to assess if talent retention is a risk. HR analytics on these points would help. Additionally, understanding employee sentiment in more detail through recent engagement surveys (especially regarding how employees feel about change, leadership, and their career development) would identify if any pockets of resistance or fatigue exist. Research should also look at </w:t>
      </w:r>
      <w:r w:rsidRPr="008A0827">
        <w:rPr>
          <w:rFonts w:ascii="Segoe UI" w:eastAsia="Times New Roman" w:hAnsi="Segoe UI" w:cs="Segoe UI"/>
          <w:b/>
          <w:bCs/>
          <w:kern w:val="0"/>
          <w:sz w:val="21"/>
          <w:szCs w:val="21"/>
          <w14:ligatures w14:val="none"/>
        </w:rPr>
        <w:t>organizational agility</w:t>
      </w:r>
      <w:r w:rsidRPr="008A0827">
        <w:rPr>
          <w:rFonts w:ascii="Segoe UI" w:eastAsia="Times New Roman" w:hAnsi="Segoe UI" w:cs="Segoe UI"/>
          <w:kern w:val="0"/>
          <w:sz w:val="21"/>
          <w:szCs w:val="21"/>
          <w14:ligatures w14:val="none"/>
        </w:rPr>
        <w:t xml:space="preserve">: for example, how quickly cross-functional teams can be mobilized for new initiatives – a metric like the average time to form and execute a </w:t>
      </w:r>
      <w:r w:rsidRPr="008A0827">
        <w:rPr>
          <w:rFonts w:ascii="Segoe UI" w:eastAsia="Times New Roman" w:hAnsi="Segoe UI" w:cs="Segoe UI"/>
          <w:kern w:val="0"/>
          <w:sz w:val="21"/>
          <w:szCs w:val="21"/>
          <w14:ligatures w14:val="none"/>
        </w:rPr>
        <w:lastRenderedPageBreak/>
        <w:t xml:space="preserve">project could be insightful. If not readily available, consider conducting a workshop or interview with project managers about bottlenecks they face. Lastly, we should gather information on the </w:t>
      </w:r>
      <w:r w:rsidRPr="008A0827">
        <w:rPr>
          <w:rFonts w:ascii="Segoe UI" w:eastAsia="Times New Roman" w:hAnsi="Segoe UI" w:cs="Segoe UI"/>
          <w:b/>
          <w:bCs/>
          <w:kern w:val="0"/>
          <w:sz w:val="21"/>
          <w:szCs w:val="21"/>
          <w14:ligatures w14:val="none"/>
        </w:rPr>
        <w:t>effectiveness of the AI training</w:t>
      </w:r>
      <w:r w:rsidRPr="008A0827">
        <w:rPr>
          <w:rFonts w:ascii="Segoe UI" w:eastAsia="Times New Roman" w:hAnsi="Segoe UI" w:cs="Segoe UI"/>
          <w:kern w:val="0"/>
          <w:sz w:val="21"/>
          <w:szCs w:val="21"/>
          <w14:ligatures w14:val="none"/>
        </w:rPr>
        <w:t xml:space="preserve"> – beyond participation numbers, are employees </w:t>
      </w:r>
      <w:proofErr w:type="gramStart"/>
      <w:r w:rsidRPr="008A0827">
        <w:rPr>
          <w:rFonts w:ascii="Segoe UI" w:eastAsia="Times New Roman" w:hAnsi="Segoe UI" w:cs="Segoe UI"/>
          <w:kern w:val="0"/>
          <w:sz w:val="21"/>
          <w:szCs w:val="21"/>
          <w14:ligatures w14:val="none"/>
        </w:rPr>
        <w:t>actually applying</w:t>
      </w:r>
      <w:proofErr w:type="gramEnd"/>
      <w:r w:rsidRPr="008A0827">
        <w:rPr>
          <w:rFonts w:ascii="Segoe UI" w:eastAsia="Times New Roman" w:hAnsi="Segoe UI" w:cs="Segoe UI"/>
          <w:kern w:val="0"/>
          <w:sz w:val="21"/>
          <w:szCs w:val="21"/>
          <w14:ligatures w14:val="none"/>
        </w:rPr>
        <w:t xml:space="preserve"> the AI knowledge in their work? A follow-up survey or case studies of how teams have implemented what they learned would measure the ROI of these talent programs. Filling these information gaps will allow for fine-tuning the talent strategy and ensuring the organizational design delivers its intended benefits.</w:t>
      </w:r>
    </w:p>
    <w:p w14:paraId="72DB0CE5" w14:textId="77777777" w:rsidR="008A0827" w:rsidRPr="008A0827" w:rsidRDefault="008A0827" w:rsidP="008A0827">
      <w:pPr>
        <w:spacing w:before="100" w:beforeAutospacing="1" w:after="100" w:afterAutospacing="1" w:line="300" w:lineRule="atLeast"/>
        <w:rPr>
          <w:rFonts w:ascii="Segoe UI" w:eastAsia="Times New Roman" w:hAnsi="Segoe UI" w:cs="Segoe UI"/>
          <w:kern w:val="0"/>
          <w:sz w:val="21"/>
          <w:szCs w:val="21"/>
          <w14:ligatures w14:val="none"/>
        </w:rPr>
      </w:pPr>
      <w:r w:rsidRPr="008A0827">
        <w:rPr>
          <w:rFonts w:ascii="Segoe UI" w:eastAsia="Times New Roman" w:hAnsi="Segoe UI" w:cs="Segoe UI"/>
          <w:b/>
          <w:bCs/>
          <w:kern w:val="0"/>
          <w:sz w:val="21"/>
          <w:szCs w:val="21"/>
          <w14:ligatures w14:val="none"/>
        </w:rPr>
        <w:t>Transformation Readiness Summary:</w:t>
      </w:r>
      <w:r w:rsidRPr="008A0827">
        <w:rPr>
          <w:rFonts w:ascii="Segoe UI" w:eastAsia="Times New Roman" w:hAnsi="Segoe UI" w:cs="Segoe UI"/>
          <w:kern w:val="0"/>
          <w:sz w:val="21"/>
          <w:szCs w:val="21"/>
          <w14:ligatures w14:val="none"/>
        </w:rPr>
        <w:t xml:space="preserve"> Thomson Reuters’ organizational and talent architecture is fundamentally strong and supportive of its transformation ambitions. The company has successfully reorganized to break silos and is actively building a workforce fluent in digital and AI innovation. There </w:t>
      </w:r>
      <w:proofErr w:type="gramStart"/>
      <w:r w:rsidRPr="008A0827">
        <w:rPr>
          <w:rFonts w:ascii="Segoe UI" w:eastAsia="Times New Roman" w:hAnsi="Segoe UI" w:cs="Segoe UI"/>
          <w:kern w:val="0"/>
          <w:sz w:val="21"/>
          <w:szCs w:val="21"/>
          <w14:ligatures w14:val="none"/>
        </w:rPr>
        <w:t>is</w:t>
      </w:r>
      <w:proofErr w:type="gramEnd"/>
      <w:r w:rsidRPr="008A0827">
        <w:rPr>
          <w:rFonts w:ascii="Segoe UI" w:eastAsia="Times New Roman" w:hAnsi="Segoe UI" w:cs="Segoe UI"/>
          <w:kern w:val="0"/>
          <w:sz w:val="21"/>
          <w:szCs w:val="21"/>
          <w14:ligatures w14:val="none"/>
        </w:rPr>
        <w:t xml:space="preserve"> evident top-level commitment and a comprehensive approach to cultural change, from training programs to engagement frameworks. While continuous attention is needed to maintain momentum and fill remaining skill gaps, the organization’s design and talent pool are primed to drive and sustain the end-to-end reimagination program. This human and structural backbone significantly de-risks the transformation, providing confidence that the company can adapt internally as it innovates externally.</w:t>
      </w:r>
    </w:p>
    <w:p w14:paraId="31D6A213" w14:textId="7D427496" w:rsidR="008A0827" w:rsidRPr="008A0827" w:rsidRDefault="008A0827" w:rsidP="008A0827">
      <w:pPr>
        <w:spacing w:after="0" w:line="300" w:lineRule="atLeast"/>
        <w:rPr>
          <w:rFonts w:ascii="Segoe UI Semibold" w:eastAsia="Times New Roman" w:hAnsi="Segoe UI Semibold" w:cs="Segoe UI Semibold"/>
          <w:b/>
          <w:bCs/>
          <w:kern w:val="0"/>
          <w:sz w:val="18"/>
          <w:szCs w:val="18"/>
          <w14:ligatures w14:val="none"/>
        </w:rPr>
      </w:pPr>
      <w:r w:rsidRPr="008A0827">
        <w:rPr>
          <w:rFonts w:ascii="Segoe UI Semibold" w:eastAsia="Times New Roman" w:hAnsi="Segoe UI Semibold" w:cs="Segoe UI Semibold"/>
          <w:b/>
          <w:bCs/>
          <w:kern w:val="0"/>
          <w:sz w:val="18"/>
          <w:szCs w:val="18"/>
          <w14:ligatures w14:val="none"/>
        </w:rPr>
        <w:t>References</w:t>
      </w:r>
    </w:p>
    <w:p w14:paraId="12147A2A" w14:textId="77777777" w:rsidR="008A0827" w:rsidRPr="008A0827" w:rsidRDefault="008A0827" w:rsidP="008A0827">
      <w:pPr>
        <w:spacing w:after="0" w:line="300" w:lineRule="atLeast"/>
        <w:rPr>
          <w:rFonts w:ascii="Segoe UI" w:eastAsia="Times New Roman" w:hAnsi="Segoe UI" w:cs="Segoe UI"/>
          <w:kern w:val="0"/>
          <w:sz w:val="21"/>
          <w:szCs w:val="21"/>
          <w14:ligatures w14:val="none"/>
        </w:rPr>
      </w:pPr>
      <w:r w:rsidRPr="008A0827">
        <w:rPr>
          <w:rFonts w:ascii="Segoe UI" w:eastAsia="Times New Roman" w:hAnsi="Segoe UI" w:cs="Segoe UI"/>
          <w:kern w:val="0"/>
          <w:sz w:val="21"/>
          <w:szCs w:val="21"/>
          <w14:ligatures w14:val="none"/>
        </w:rPr>
        <w:t xml:space="preserve">[1] </w:t>
      </w:r>
      <w:hyperlink r:id="rId80" w:history="1">
        <w:r w:rsidRPr="008A0827">
          <w:rPr>
            <w:rFonts w:ascii="Segoe UI" w:eastAsia="Times New Roman" w:hAnsi="Segoe UI" w:cs="Segoe UI"/>
            <w:color w:val="464FEB"/>
            <w:kern w:val="0"/>
            <w:sz w:val="21"/>
            <w:szCs w:val="21"/>
            <w14:ligatures w14:val="none"/>
          </w:rPr>
          <w:t>Annual Report 2023 - Thomson Reuters</w:t>
        </w:r>
      </w:hyperlink>
    </w:p>
    <w:p w14:paraId="369F46C5" w14:textId="77777777" w:rsidR="008A0827" w:rsidRPr="008A0827" w:rsidRDefault="008A0827" w:rsidP="008A0827">
      <w:pPr>
        <w:spacing w:after="0" w:line="300" w:lineRule="atLeast"/>
        <w:rPr>
          <w:rFonts w:ascii="Segoe UI" w:eastAsia="Times New Roman" w:hAnsi="Segoe UI" w:cs="Segoe UI"/>
          <w:kern w:val="0"/>
          <w:sz w:val="21"/>
          <w:szCs w:val="21"/>
          <w14:ligatures w14:val="none"/>
        </w:rPr>
      </w:pPr>
      <w:r w:rsidRPr="008A0827">
        <w:rPr>
          <w:rFonts w:ascii="Segoe UI" w:eastAsia="Times New Roman" w:hAnsi="Segoe UI" w:cs="Segoe UI"/>
          <w:kern w:val="0"/>
          <w:sz w:val="21"/>
          <w:szCs w:val="21"/>
          <w14:ligatures w14:val="none"/>
        </w:rPr>
        <w:t xml:space="preserve">[2] </w:t>
      </w:r>
      <w:hyperlink r:id="rId81" w:history="1">
        <w:r w:rsidRPr="008A0827">
          <w:rPr>
            <w:rFonts w:ascii="Segoe UI" w:eastAsia="Times New Roman" w:hAnsi="Segoe UI" w:cs="Segoe UI"/>
            <w:color w:val="464FEB"/>
            <w:kern w:val="0"/>
            <w:sz w:val="21"/>
            <w:szCs w:val="21"/>
            <w14:ligatures w14:val="none"/>
          </w:rPr>
          <w:t>'You will be left behind': Thomson Reuters' CPO says staff must use AI ...</w:t>
        </w:r>
      </w:hyperlink>
    </w:p>
    <w:p w14:paraId="176ABF2C" w14:textId="77777777" w:rsidR="008A0827" w:rsidRPr="008A0827" w:rsidRDefault="008A0827" w:rsidP="008A0827">
      <w:pPr>
        <w:spacing w:after="0" w:line="300" w:lineRule="atLeast"/>
        <w:rPr>
          <w:rFonts w:ascii="Segoe UI" w:eastAsia="Times New Roman" w:hAnsi="Segoe UI" w:cs="Segoe UI"/>
          <w:kern w:val="0"/>
          <w:sz w:val="21"/>
          <w:szCs w:val="21"/>
          <w14:ligatures w14:val="none"/>
        </w:rPr>
      </w:pPr>
      <w:r w:rsidRPr="008A0827">
        <w:rPr>
          <w:rFonts w:ascii="Segoe UI" w:eastAsia="Times New Roman" w:hAnsi="Segoe UI" w:cs="Segoe UI"/>
          <w:kern w:val="0"/>
          <w:sz w:val="21"/>
          <w:szCs w:val="21"/>
          <w14:ligatures w14:val="none"/>
        </w:rPr>
        <w:t xml:space="preserve">[3] </w:t>
      </w:r>
      <w:hyperlink r:id="rId82" w:history="1">
        <w:r w:rsidRPr="008A0827">
          <w:rPr>
            <w:rFonts w:ascii="Segoe UI" w:eastAsia="Times New Roman" w:hAnsi="Segoe UI" w:cs="Segoe UI"/>
            <w:color w:val="464FEB"/>
            <w:kern w:val="0"/>
            <w:sz w:val="21"/>
            <w:szCs w:val="21"/>
            <w14:ligatures w14:val="none"/>
          </w:rPr>
          <w:t>Thomson Reuters Change Program</w:t>
        </w:r>
      </w:hyperlink>
    </w:p>
    <w:p w14:paraId="1595A5AD" w14:textId="77777777" w:rsidR="009C3773" w:rsidRDefault="009C3773"/>
    <w:p w14:paraId="29ABA9CF" w14:textId="77777777" w:rsidR="004B25EF" w:rsidRPr="004B25EF" w:rsidRDefault="004B25EF" w:rsidP="004B25E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B25EF">
        <w:rPr>
          <w:rFonts w:ascii="Segoe UI" w:eastAsia="Times New Roman" w:hAnsi="Segoe UI" w:cs="Segoe UI"/>
          <w:b/>
          <w:bCs/>
          <w:kern w:val="0"/>
          <w:sz w:val="36"/>
          <w:szCs w:val="36"/>
          <w14:ligatures w14:val="none"/>
        </w:rPr>
        <w:t>OPERATIONAL ARCHITECTURE &amp; PROCESS OPTIMIZATION FRAMEWORK</w:t>
      </w:r>
    </w:p>
    <w:p w14:paraId="399E3C65"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Assessment:</w:t>
      </w:r>
      <w:r w:rsidRPr="004B25EF">
        <w:rPr>
          <w:rFonts w:ascii="Segoe UI" w:eastAsia="Times New Roman" w:hAnsi="Segoe UI" w:cs="Segoe UI"/>
          <w:kern w:val="0"/>
          <w:sz w:val="21"/>
          <w:szCs w:val="21"/>
          <w14:ligatures w14:val="none"/>
        </w:rPr>
        <w:t xml:space="preserve"> Thomson Reuters exhibits a strong commitment to optimizing its operational architecture, reflected in a significant reduction of complexity and a culture increasingly focused on continuous improvement (Rating: </w:t>
      </w:r>
      <w:r w:rsidRPr="004B25EF">
        <w:rPr>
          <w:rFonts w:ascii="Segoe UI" w:eastAsia="Times New Roman" w:hAnsi="Segoe UI" w:cs="Segoe UI"/>
          <w:b/>
          <w:bCs/>
          <w:kern w:val="0"/>
          <w:sz w:val="21"/>
          <w:szCs w:val="21"/>
          <w14:ligatures w14:val="none"/>
        </w:rPr>
        <w:t>4/5</w:t>
      </w:r>
      <w:r w:rsidRPr="004B25EF">
        <w:rPr>
          <w:rFonts w:ascii="Segoe UI" w:eastAsia="Times New Roman" w:hAnsi="Segoe UI" w:cs="Segoe UI"/>
          <w:kern w:val="0"/>
          <w:sz w:val="21"/>
          <w:szCs w:val="21"/>
          <w14:ligatures w14:val="none"/>
        </w:rPr>
        <w:t>). Prior to its recent transformations, the company’s operations were fragmented – there were tens of thousands of SKUs, hundreds of websites, and numerous redundant systems</w:t>
      </w:r>
      <w:hyperlink r:id="rId83"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 leading to siloed and inefficient processes. Through the 2021-2022 Change Program and subsequent initiatives, Thomson Reuters has </w:t>
      </w:r>
      <w:r w:rsidRPr="004B25EF">
        <w:rPr>
          <w:rFonts w:ascii="Segoe UI" w:eastAsia="Times New Roman" w:hAnsi="Segoe UI" w:cs="Segoe UI"/>
          <w:b/>
          <w:bCs/>
          <w:kern w:val="0"/>
          <w:sz w:val="21"/>
          <w:szCs w:val="21"/>
          <w14:ligatures w14:val="none"/>
        </w:rPr>
        <w:t>streamlined many core processes</w:t>
      </w:r>
      <w:r w:rsidRPr="004B25EF">
        <w:rPr>
          <w:rFonts w:ascii="Segoe UI" w:eastAsia="Times New Roman" w:hAnsi="Segoe UI" w:cs="Segoe UI"/>
          <w:kern w:val="0"/>
          <w:sz w:val="21"/>
          <w:szCs w:val="21"/>
          <w14:ligatures w14:val="none"/>
        </w:rPr>
        <w:t>, such as unifying customer onboarding, billing, and support across business units</w:t>
      </w:r>
      <w:hyperlink r:id="rId84"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The organization’s adoption of </w:t>
      </w:r>
      <w:r w:rsidRPr="004B25EF">
        <w:rPr>
          <w:rFonts w:ascii="Segoe UI" w:eastAsia="Times New Roman" w:hAnsi="Segoe UI" w:cs="Segoe UI"/>
          <w:b/>
          <w:bCs/>
          <w:kern w:val="0"/>
          <w:sz w:val="21"/>
          <w:szCs w:val="21"/>
          <w14:ligatures w14:val="none"/>
        </w:rPr>
        <w:t>Lean Six Sigma methodologies</w:t>
      </w:r>
      <w:r w:rsidRPr="004B25EF">
        <w:rPr>
          <w:rFonts w:ascii="Segoe UI" w:eastAsia="Times New Roman" w:hAnsi="Segoe UI" w:cs="Segoe UI"/>
          <w:kern w:val="0"/>
          <w:sz w:val="21"/>
          <w:szCs w:val="21"/>
          <w14:ligatures w14:val="none"/>
        </w:rPr>
        <w:t xml:space="preserve"> and establishment of centralized operations hubs have improved process discipline and efficiency (over 160 employees achieved Lean Six Sigma Yellow or Green Belt certification in 2024 alone</w:t>
      </w:r>
      <w:hyperlink r:id="rId85" w:history="1">
        <w:r w:rsidRPr="004B25EF">
          <w:rPr>
            <w:rFonts w:ascii="Segoe UI" w:eastAsia="Times New Roman" w:hAnsi="Segoe UI" w:cs="Segoe UI"/>
            <w:color w:val="464FEB"/>
            <w:kern w:val="0"/>
            <w:sz w:val="21"/>
            <w:szCs w:val="21"/>
            <w14:ligatures w14:val="none"/>
          </w:rPr>
          <w:t>[2]</w:t>
        </w:r>
      </w:hyperlink>
      <w:r w:rsidRPr="004B25EF">
        <w:rPr>
          <w:rFonts w:ascii="Segoe UI" w:eastAsia="Times New Roman" w:hAnsi="Segoe UI" w:cs="Segoe UI"/>
          <w:kern w:val="0"/>
          <w:sz w:val="21"/>
          <w:szCs w:val="21"/>
          <w14:ligatures w14:val="none"/>
        </w:rPr>
        <w:t xml:space="preserve">). These efforts yield a mature operational foundation, though not yet a full score: some legacy processes and systems still require refinement or decommissioning, which the company continues to tackle in its </w:t>
      </w:r>
      <w:proofErr w:type="gramStart"/>
      <w:r w:rsidRPr="004B25EF">
        <w:rPr>
          <w:rFonts w:ascii="Segoe UI" w:eastAsia="Times New Roman" w:hAnsi="Segoe UI" w:cs="Segoe UI"/>
          <w:kern w:val="0"/>
          <w:sz w:val="21"/>
          <w:szCs w:val="21"/>
          <w14:ligatures w14:val="none"/>
        </w:rPr>
        <w:t>2-3 year</w:t>
      </w:r>
      <w:proofErr w:type="gramEnd"/>
      <w:r w:rsidRPr="004B25EF">
        <w:rPr>
          <w:rFonts w:ascii="Segoe UI" w:eastAsia="Times New Roman" w:hAnsi="Segoe UI" w:cs="Segoe UI"/>
          <w:kern w:val="0"/>
          <w:sz w:val="21"/>
          <w:szCs w:val="21"/>
          <w14:ligatures w14:val="none"/>
        </w:rPr>
        <w:t xml:space="preserve"> roadmap. Overall, Thomson Reuters’ readiness in operational optimization is high, with proven frameworks in place to drive further improvements. </w:t>
      </w:r>
    </w:p>
    <w:p w14:paraId="067FD28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Key Internal Findings:</w:t>
      </w:r>
      <w:r w:rsidRPr="004B25EF">
        <w:rPr>
          <w:rFonts w:ascii="Segoe UI" w:eastAsia="Times New Roman" w:hAnsi="Segoe UI" w:cs="Segoe UI"/>
          <w:kern w:val="0"/>
          <w:sz w:val="21"/>
          <w:szCs w:val="21"/>
          <w14:ligatures w14:val="none"/>
        </w:rPr>
        <w:t xml:space="preserve"> Internally, Thomson Reuters has shifted from a historically decentralized operations model to a more integrated, end-to-end approach. A key finding from the Change Program was the need to </w:t>
      </w:r>
      <w:r w:rsidRPr="004B25EF">
        <w:rPr>
          <w:rFonts w:ascii="Segoe UI" w:eastAsia="Times New Roman" w:hAnsi="Segoe UI" w:cs="Segoe UI"/>
          <w:b/>
          <w:bCs/>
          <w:kern w:val="0"/>
          <w:sz w:val="21"/>
          <w:szCs w:val="21"/>
          <w14:ligatures w14:val="none"/>
        </w:rPr>
        <w:t>“take an end-to-end view of the customer journey”</w:t>
      </w:r>
      <w:r w:rsidRPr="004B25EF">
        <w:rPr>
          <w:rFonts w:ascii="Segoe UI" w:eastAsia="Times New Roman" w:hAnsi="Segoe UI" w:cs="Segoe UI"/>
          <w:kern w:val="0"/>
          <w:sz w:val="21"/>
          <w:szCs w:val="21"/>
          <w14:ligatures w14:val="none"/>
        </w:rPr>
        <w:t xml:space="preserve"> instead of optimizing in silos</w:t>
      </w:r>
      <w:hyperlink r:id="rId86"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This led to reengineering processes like lead-to-cash: for example, previously 15+ different Order-to-Cash systems existed, which complicated invoicing and fulfillment</w:t>
      </w:r>
      <w:hyperlink r:id="rId87"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The company has been standardizing on a single global order management and billing platform (integrated with Salesforce and SAP), greatly simplifying contract management and billing cycles. Another finding is the development of </w:t>
      </w:r>
      <w:r w:rsidRPr="004B25EF">
        <w:rPr>
          <w:rFonts w:ascii="Segoe UI" w:eastAsia="Times New Roman" w:hAnsi="Segoe UI" w:cs="Segoe UI"/>
          <w:b/>
          <w:bCs/>
          <w:kern w:val="0"/>
          <w:sz w:val="21"/>
          <w:szCs w:val="21"/>
          <w14:ligatures w14:val="none"/>
        </w:rPr>
        <w:t>omnichannel customer support processes</w:t>
      </w:r>
      <w:r w:rsidRPr="004B25EF">
        <w:rPr>
          <w:rFonts w:ascii="Segoe UI" w:eastAsia="Times New Roman" w:hAnsi="Segoe UI" w:cs="Segoe UI"/>
          <w:kern w:val="0"/>
          <w:sz w:val="21"/>
          <w:szCs w:val="21"/>
          <w14:ligatures w14:val="none"/>
        </w:rPr>
        <w:t xml:space="preserve"> – Thomson Reuters integrated its call centers, self-service portals, and in-product help into a unified workflow to ensure customers get consistent service regardless of channel</w:t>
      </w:r>
      <w:hyperlink r:id="rId88" w:history="1">
        <w:r w:rsidRPr="004B25EF">
          <w:rPr>
            <w:rFonts w:ascii="Segoe UI" w:eastAsia="Times New Roman" w:hAnsi="Segoe UI" w:cs="Segoe UI"/>
            <w:color w:val="464FEB"/>
            <w:kern w:val="0"/>
            <w:sz w:val="21"/>
            <w:szCs w:val="21"/>
            <w14:ligatures w14:val="none"/>
          </w:rPr>
          <w:t>[1]</w:t>
        </w:r>
      </w:hyperlink>
      <w:hyperlink r:id="rId89"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This required operational alignment between previously separate teams (e.g., product support and account management now share a common case tracking system). On the internal efficiency front, operational units like </w:t>
      </w:r>
      <w:r w:rsidRPr="004B25EF">
        <w:rPr>
          <w:rFonts w:ascii="Segoe UI" w:eastAsia="Times New Roman" w:hAnsi="Segoe UI" w:cs="Segoe UI"/>
          <w:b/>
          <w:bCs/>
          <w:kern w:val="0"/>
          <w:sz w:val="21"/>
          <w:szCs w:val="21"/>
          <w14:ligatures w14:val="none"/>
        </w:rPr>
        <w:t>Content Operations</w:t>
      </w:r>
      <w:r w:rsidRPr="004B25EF">
        <w:rPr>
          <w:rFonts w:ascii="Segoe UI" w:eastAsia="Times New Roman" w:hAnsi="Segoe UI" w:cs="Segoe UI"/>
          <w:kern w:val="0"/>
          <w:sz w:val="21"/>
          <w:szCs w:val="21"/>
          <w14:ligatures w14:val="none"/>
        </w:rPr>
        <w:t xml:space="preserve"> undertook </w:t>
      </w:r>
      <w:r w:rsidRPr="004B25EF">
        <w:rPr>
          <w:rFonts w:ascii="Segoe UI" w:eastAsia="Times New Roman" w:hAnsi="Segoe UI" w:cs="Segoe UI"/>
          <w:b/>
          <w:bCs/>
          <w:kern w:val="0"/>
          <w:sz w:val="21"/>
          <w:szCs w:val="21"/>
          <w14:ligatures w14:val="none"/>
        </w:rPr>
        <w:t xml:space="preserve">Lean “BPM Lite” </w:t>
      </w:r>
      <w:r w:rsidRPr="004B25EF">
        <w:rPr>
          <w:rFonts w:ascii="Segoe UI" w:eastAsia="Times New Roman" w:hAnsi="Segoe UI" w:cs="Segoe UI"/>
          <w:b/>
          <w:bCs/>
          <w:kern w:val="0"/>
          <w:sz w:val="21"/>
          <w:szCs w:val="21"/>
          <w14:ligatures w14:val="none"/>
        </w:rPr>
        <w:lastRenderedPageBreak/>
        <w:t>reviews</w:t>
      </w:r>
      <w:r w:rsidRPr="004B25EF">
        <w:rPr>
          <w:rFonts w:ascii="Segoe UI" w:eastAsia="Times New Roman" w:hAnsi="Segoe UI" w:cs="Segoe UI"/>
          <w:kern w:val="0"/>
          <w:sz w:val="21"/>
          <w:szCs w:val="21"/>
          <w14:ligatures w14:val="none"/>
        </w:rPr>
        <w:t xml:space="preserve"> of their workflows, identifying waste and opportunities for automation</w:t>
      </w:r>
      <w:hyperlink r:id="rId90" w:history="1">
        <w:r w:rsidRPr="004B25EF">
          <w:rPr>
            <w:rFonts w:ascii="Segoe UI" w:eastAsia="Times New Roman" w:hAnsi="Segoe UI" w:cs="Segoe UI"/>
            <w:color w:val="464FEB"/>
            <w:kern w:val="0"/>
            <w:sz w:val="21"/>
            <w:szCs w:val="21"/>
            <w14:ligatures w14:val="none"/>
          </w:rPr>
          <w:t>[3]</w:t>
        </w:r>
      </w:hyperlink>
      <w:r w:rsidRPr="004B25EF">
        <w:rPr>
          <w:rFonts w:ascii="Segoe UI" w:eastAsia="Times New Roman" w:hAnsi="Segoe UI" w:cs="Segoe UI"/>
          <w:kern w:val="0"/>
          <w:sz w:val="21"/>
          <w:szCs w:val="21"/>
          <w14:ligatures w14:val="none"/>
        </w:rPr>
        <w:t>. For instance, a content update process in Legal was redesigned, enabling automation bots to clear a backlog of 40,000 legal case documents and keep new case entries near 90% currency targets</w:t>
      </w:r>
      <w:hyperlink r:id="rId91" w:history="1">
        <w:r w:rsidRPr="004B25EF">
          <w:rPr>
            <w:rFonts w:ascii="Segoe UI" w:eastAsia="Times New Roman" w:hAnsi="Segoe UI" w:cs="Segoe UI"/>
            <w:color w:val="464FEB"/>
            <w:kern w:val="0"/>
            <w:sz w:val="21"/>
            <w:szCs w:val="21"/>
            <w14:ligatures w14:val="none"/>
          </w:rPr>
          <w:t>[3]</w:t>
        </w:r>
      </w:hyperlink>
      <w:r w:rsidRPr="004B25EF">
        <w:rPr>
          <w:rFonts w:ascii="Segoe UI" w:eastAsia="Times New Roman" w:hAnsi="Segoe UI" w:cs="Segoe UI"/>
          <w:kern w:val="0"/>
          <w:sz w:val="21"/>
          <w:szCs w:val="21"/>
          <w14:ligatures w14:val="none"/>
        </w:rPr>
        <w:t xml:space="preserve">. Similarly, a </w:t>
      </w:r>
      <w:proofErr w:type="spellStart"/>
      <w:r w:rsidRPr="004B25EF">
        <w:rPr>
          <w:rFonts w:ascii="Segoe UI" w:eastAsia="Times New Roman" w:hAnsi="Segoe UI" w:cs="Segoe UI"/>
          <w:kern w:val="0"/>
          <w:sz w:val="21"/>
          <w:szCs w:val="21"/>
          <w14:ligatures w14:val="none"/>
        </w:rPr>
        <w:t>bot</w:t>
      </w:r>
      <w:proofErr w:type="spellEnd"/>
      <w:r w:rsidRPr="004B25EF">
        <w:rPr>
          <w:rFonts w:ascii="Segoe UI" w:eastAsia="Times New Roman" w:hAnsi="Segoe UI" w:cs="Segoe UI"/>
          <w:kern w:val="0"/>
          <w:sz w:val="21"/>
          <w:szCs w:val="21"/>
          <w14:ligatures w14:val="none"/>
        </w:rPr>
        <w:t xml:space="preserve"> was introduced to auto-populate legislative tracking data, reducing manual effort for the Tax content team</w:t>
      </w:r>
      <w:hyperlink r:id="rId92" w:history="1">
        <w:r w:rsidRPr="004B25EF">
          <w:rPr>
            <w:rFonts w:ascii="Segoe UI" w:eastAsia="Times New Roman" w:hAnsi="Segoe UI" w:cs="Segoe UI"/>
            <w:color w:val="464FEB"/>
            <w:kern w:val="0"/>
            <w:sz w:val="21"/>
            <w:szCs w:val="21"/>
            <w14:ligatures w14:val="none"/>
          </w:rPr>
          <w:t>[3]</w:t>
        </w:r>
      </w:hyperlink>
      <w:r w:rsidRPr="004B25EF">
        <w:rPr>
          <w:rFonts w:ascii="Segoe UI" w:eastAsia="Times New Roman" w:hAnsi="Segoe UI" w:cs="Segoe UI"/>
          <w:kern w:val="0"/>
          <w:sz w:val="21"/>
          <w:szCs w:val="21"/>
          <w14:ligatures w14:val="none"/>
        </w:rPr>
        <w:t xml:space="preserve">. These examples underscore a broader finding: </w:t>
      </w:r>
      <w:r w:rsidRPr="004B25EF">
        <w:rPr>
          <w:rFonts w:ascii="Segoe UI" w:eastAsia="Times New Roman" w:hAnsi="Segoe UI" w:cs="Segoe UI"/>
          <w:b/>
          <w:bCs/>
          <w:kern w:val="0"/>
          <w:sz w:val="21"/>
          <w:szCs w:val="21"/>
          <w14:ligatures w14:val="none"/>
        </w:rPr>
        <w:t>process simplification and automation have become ingrained in the operational culture.</w:t>
      </w:r>
      <w:r w:rsidRPr="004B25EF">
        <w:rPr>
          <w:rFonts w:ascii="Segoe UI" w:eastAsia="Times New Roman" w:hAnsi="Segoe UI" w:cs="Segoe UI"/>
          <w:kern w:val="0"/>
          <w:sz w:val="21"/>
          <w:szCs w:val="21"/>
          <w14:ligatures w14:val="none"/>
        </w:rPr>
        <w:t xml:space="preserve"> Teams are encouraged to map out their processes (using tools like </w:t>
      </w:r>
      <w:proofErr w:type="spellStart"/>
      <w:r w:rsidRPr="004B25EF">
        <w:rPr>
          <w:rFonts w:ascii="Segoe UI" w:eastAsia="Times New Roman" w:hAnsi="Segoe UI" w:cs="Segoe UI"/>
          <w:kern w:val="0"/>
          <w:sz w:val="21"/>
          <w:szCs w:val="21"/>
          <w14:ligatures w14:val="none"/>
        </w:rPr>
        <w:t>Lucidchart</w:t>
      </w:r>
      <w:proofErr w:type="spellEnd"/>
      <w:r w:rsidRPr="004B25EF">
        <w:rPr>
          <w:rFonts w:ascii="Segoe UI" w:eastAsia="Times New Roman" w:hAnsi="Segoe UI" w:cs="Segoe UI"/>
          <w:kern w:val="0"/>
          <w:sz w:val="21"/>
          <w:szCs w:val="21"/>
          <w14:ligatures w14:val="none"/>
        </w:rPr>
        <w:t xml:space="preserve"> and the internal “Mindspace” improvement portal</w:t>
      </w:r>
      <w:hyperlink r:id="rId93" w:history="1">
        <w:r w:rsidRPr="004B25EF">
          <w:rPr>
            <w:rFonts w:ascii="Segoe UI" w:eastAsia="Times New Roman" w:hAnsi="Segoe UI" w:cs="Segoe UI"/>
            <w:color w:val="464FEB"/>
            <w:kern w:val="0"/>
            <w:sz w:val="21"/>
            <w:szCs w:val="21"/>
            <w14:ligatures w14:val="none"/>
          </w:rPr>
          <w:t>[4]</w:t>
        </w:r>
      </w:hyperlink>
      <w:r w:rsidRPr="004B25EF">
        <w:rPr>
          <w:rFonts w:ascii="Segoe UI" w:eastAsia="Times New Roman" w:hAnsi="Segoe UI" w:cs="Segoe UI"/>
          <w:kern w:val="0"/>
          <w:sz w:val="21"/>
          <w:szCs w:val="21"/>
          <w14:ligatures w14:val="none"/>
        </w:rPr>
        <w:t xml:space="preserve">) and suggest improvements. Many support functions (HR, Finance) have also harmonized their procedures globally – for instance, a single travel &amp; expense system and unified procurement process now serve all regions, replacing what used to be multiple local systems. The net impact of these changes has been faster cycle times (some contract renewals that once took weeks can now be processed in days) and cost savings from decommissioned systems and reduced manual work. </w:t>
      </w:r>
    </w:p>
    <w:p w14:paraId="70BB29E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AI Integration Context:</w:t>
      </w:r>
      <w:r w:rsidRPr="004B25EF">
        <w:rPr>
          <w:rFonts w:ascii="Segoe UI" w:eastAsia="Times New Roman" w:hAnsi="Segoe UI" w:cs="Segoe UI"/>
          <w:kern w:val="0"/>
          <w:sz w:val="21"/>
          <w:szCs w:val="21"/>
          <w14:ligatures w14:val="none"/>
        </w:rPr>
        <w:t xml:space="preserve"> Within operational processes, Thomson Reuters is leveraging AI and automation as force multipliers for efficiency. While AI integration is often discussed in product terms, internally the company applies machine learning and robotic process automation to streamline operations. An illustrative example is the use of </w:t>
      </w:r>
      <w:r w:rsidRPr="004B25EF">
        <w:rPr>
          <w:rFonts w:ascii="Segoe UI" w:eastAsia="Times New Roman" w:hAnsi="Segoe UI" w:cs="Segoe UI"/>
          <w:b/>
          <w:bCs/>
          <w:kern w:val="0"/>
          <w:sz w:val="21"/>
          <w:szCs w:val="21"/>
          <w14:ligatures w14:val="none"/>
        </w:rPr>
        <w:t>AI-based speech analytics in call centers</w:t>
      </w:r>
      <w:r w:rsidRPr="004B25EF">
        <w:rPr>
          <w:rFonts w:ascii="Segoe UI" w:eastAsia="Times New Roman" w:hAnsi="Segoe UI" w:cs="Segoe UI"/>
          <w:kern w:val="0"/>
          <w:sz w:val="21"/>
          <w:szCs w:val="21"/>
          <w14:ligatures w14:val="none"/>
        </w:rPr>
        <w:t>, which transcribes and analyzes customer calls to surface common pain points and guide training for service reps</w:t>
      </w:r>
      <w:hyperlink r:id="rId94" w:history="1">
        <w:r w:rsidRPr="004B25EF">
          <w:rPr>
            <w:rFonts w:ascii="Segoe UI" w:eastAsia="Times New Roman" w:hAnsi="Segoe UI" w:cs="Segoe UI"/>
            <w:color w:val="464FEB"/>
            <w:kern w:val="0"/>
            <w:sz w:val="21"/>
            <w:szCs w:val="21"/>
            <w14:ligatures w14:val="none"/>
          </w:rPr>
          <w:t>[5]</w:t>
        </w:r>
      </w:hyperlink>
      <w:r w:rsidRPr="004B25EF">
        <w:rPr>
          <w:rFonts w:ascii="Segoe UI" w:eastAsia="Times New Roman" w:hAnsi="Segoe UI" w:cs="Segoe UI"/>
          <w:kern w:val="0"/>
          <w:sz w:val="21"/>
          <w:szCs w:val="21"/>
          <w14:ligatures w14:val="none"/>
        </w:rPr>
        <w:t>. Additionally, predictive analytics models have been built to forecast customer demand and content workload, enabling better resource planning (e.g., predicting spikes in tax form submissions so the Tax Operations team can pre-allocate staff)</w:t>
      </w:r>
      <w:hyperlink r:id="rId95" w:history="1">
        <w:r w:rsidRPr="004B25EF">
          <w:rPr>
            <w:rFonts w:ascii="Segoe UI" w:eastAsia="Times New Roman" w:hAnsi="Segoe UI" w:cs="Segoe UI"/>
            <w:color w:val="464FEB"/>
            <w:kern w:val="0"/>
            <w:sz w:val="21"/>
            <w:szCs w:val="21"/>
            <w14:ligatures w14:val="none"/>
          </w:rPr>
          <w:t>[5]</w:t>
        </w:r>
      </w:hyperlink>
      <w:r w:rsidRPr="004B25EF">
        <w:rPr>
          <w:rFonts w:ascii="Segoe UI" w:eastAsia="Times New Roman" w:hAnsi="Segoe UI" w:cs="Segoe UI"/>
          <w:kern w:val="0"/>
          <w:sz w:val="21"/>
          <w:szCs w:val="21"/>
          <w14:ligatures w14:val="none"/>
        </w:rPr>
        <w:t xml:space="preserve">. The operational teams also partner with Thomson Reuters Labs to embed NLP and ML in workflows – such as an </w:t>
      </w:r>
      <w:r w:rsidRPr="004B25EF">
        <w:rPr>
          <w:rFonts w:ascii="Segoe UI" w:eastAsia="Times New Roman" w:hAnsi="Segoe UI" w:cs="Segoe UI"/>
          <w:b/>
          <w:bCs/>
          <w:kern w:val="0"/>
          <w:sz w:val="21"/>
          <w:szCs w:val="21"/>
          <w14:ligatures w14:val="none"/>
        </w:rPr>
        <w:t>NLP tool that auto-classifies incoming customer inquiries</w:t>
      </w:r>
      <w:r w:rsidRPr="004B25EF">
        <w:rPr>
          <w:rFonts w:ascii="Segoe UI" w:eastAsia="Times New Roman" w:hAnsi="Segoe UI" w:cs="Segoe UI"/>
          <w:kern w:val="0"/>
          <w:sz w:val="21"/>
          <w:szCs w:val="21"/>
          <w14:ligatures w14:val="none"/>
        </w:rPr>
        <w:t xml:space="preserve"> into categories (billing, technical issue, legal question, etc.), ensuring each query is routed to the right department without human triage. Robotic Process Automation (RPA), while not “AI” in the strict sense, is a big part of the automation integration: bots handle repetitive tasks like invoice generation, data entry between legacy systems, and quality checks on data loads. The integration of these technologies is overseen by a central Process Excellence group, which ensures that automation projects align with process standards and security. AI-enabled process monitoring is another aspect of integration: the company uses anomaly detection on operational KPIs (like turnaround times or error rates) to catch process breakdowns in real time. For example, if a content publishing job stalls, an alert from an AI ops tool notifies technicians before it impacts customers. All these elements illustrate that </w:t>
      </w:r>
      <w:r w:rsidRPr="004B25EF">
        <w:rPr>
          <w:rFonts w:ascii="Segoe UI" w:eastAsia="Times New Roman" w:hAnsi="Segoe UI" w:cs="Segoe UI"/>
          <w:b/>
          <w:bCs/>
          <w:kern w:val="0"/>
          <w:sz w:val="21"/>
          <w:szCs w:val="21"/>
          <w14:ligatures w14:val="none"/>
        </w:rPr>
        <w:t>AI and automation are woven into Thomson Reuters’ operational fabric</w:t>
      </w:r>
      <w:r w:rsidRPr="004B25EF">
        <w:rPr>
          <w:rFonts w:ascii="Segoe UI" w:eastAsia="Times New Roman" w:hAnsi="Segoe UI" w:cs="Segoe UI"/>
          <w:kern w:val="0"/>
          <w:sz w:val="21"/>
          <w:szCs w:val="21"/>
          <w14:ligatures w14:val="none"/>
        </w:rPr>
        <w:t xml:space="preserve"> – they are not standalone experiments but rather enhancements to core processes, improving speed, accuracy, and cost-efficiency. </w:t>
      </w:r>
    </w:p>
    <w:p w14:paraId="57426B1D"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Supporting Internal Evidence:</w:t>
      </w:r>
      <w:r w:rsidRPr="004B25EF">
        <w:rPr>
          <w:rFonts w:ascii="Segoe UI" w:eastAsia="Times New Roman" w:hAnsi="Segoe UI" w:cs="Segoe UI"/>
          <w:kern w:val="0"/>
          <w:sz w:val="21"/>
          <w:szCs w:val="21"/>
          <w14:ligatures w14:val="none"/>
        </w:rPr>
        <w:t xml:space="preserve"> The drive for process optimization is well documented in internal communications and performance reports. The Investor Day 2021 presentation by the COO highlighted the initial baseline of complexity (e.g., ~62,000 SKUs, 278 websites, 50+ call centers) and outlined five key operational initiatives including end-to-end customer journey redesign and shared capabilities utilization</w:t>
      </w:r>
      <w:hyperlink r:id="rId96" w:history="1">
        <w:r w:rsidRPr="004B25EF">
          <w:rPr>
            <w:rFonts w:ascii="Segoe UI" w:eastAsia="Times New Roman" w:hAnsi="Segoe UI" w:cs="Segoe UI"/>
            <w:color w:val="464FEB"/>
            <w:kern w:val="0"/>
            <w:sz w:val="21"/>
            <w:szCs w:val="21"/>
            <w14:ligatures w14:val="none"/>
          </w:rPr>
          <w:t>[1]</w:t>
        </w:r>
      </w:hyperlink>
      <w:hyperlink r:id="rId97"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Subsequent internal progress reports show tangible outcomes: one report notes that by 2023, Thomson Reuters had consolidated those 50+ call centers into a handful of global centers of excellence and introduced </w:t>
      </w:r>
      <w:r w:rsidRPr="004B25EF">
        <w:rPr>
          <w:rFonts w:ascii="Segoe UI" w:eastAsia="Times New Roman" w:hAnsi="Segoe UI" w:cs="Segoe UI"/>
          <w:b/>
          <w:bCs/>
          <w:kern w:val="0"/>
          <w:sz w:val="21"/>
          <w:szCs w:val="21"/>
          <w14:ligatures w14:val="none"/>
        </w:rPr>
        <w:t>chatbot support</w:t>
      </w:r>
      <w:r w:rsidRPr="004B25EF">
        <w:rPr>
          <w:rFonts w:ascii="Segoe UI" w:eastAsia="Times New Roman" w:hAnsi="Segoe UI" w:cs="Segoe UI"/>
          <w:kern w:val="0"/>
          <w:sz w:val="21"/>
          <w:szCs w:val="21"/>
          <w14:ligatures w14:val="none"/>
        </w:rPr>
        <w:t>, improving first-contact resolution rates</w:t>
      </w:r>
      <w:hyperlink r:id="rId98"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A 2023 Content Operations town hall deck provides evidence of Lean Six Sigma in action – it celebrated multiple “White Belt” and “Yellow Belt” project successes such as a 13-15% productivity boost in a vendor content validation process and cycle time reductions in editorial workflows</w:t>
      </w:r>
      <w:hyperlink r:id="rId99" w:history="1">
        <w:r w:rsidRPr="004B25EF">
          <w:rPr>
            <w:rFonts w:ascii="Segoe UI" w:eastAsia="Times New Roman" w:hAnsi="Segoe UI" w:cs="Segoe UI"/>
            <w:color w:val="464FEB"/>
            <w:kern w:val="0"/>
            <w:sz w:val="21"/>
            <w:szCs w:val="21"/>
            <w14:ligatures w14:val="none"/>
          </w:rPr>
          <w:t>[6]</w:t>
        </w:r>
      </w:hyperlink>
      <w:r w:rsidRPr="004B25EF">
        <w:rPr>
          <w:rFonts w:ascii="Segoe UI" w:eastAsia="Times New Roman" w:hAnsi="Segoe UI" w:cs="Segoe UI"/>
          <w:kern w:val="0"/>
          <w:sz w:val="21"/>
          <w:szCs w:val="21"/>
          <w14:ligatures w14:val="none"/>
        </w:rPr>
        <w:t>. Another piece of evidence is the internal KPI dashboard for operations: metrics like content on-time delivery, case law currency, and support case resolution times have been trending positively since the process improvements (the content operations dashboard showed US Cases 90% within SLA, up from ~78% before process changes</w:t>
      </w:r>
      <w:hyperlink r:id="rId100" w:history="1">
        <w:r w:rsidRPr="004B25EF">
          <w:rPr>
            <w:rFonts w:ascii="Segoe UI" w:eastAsia="Times New Roman" w:hAnsi="Segoe UI" w:cs="Segoe UI"/>
            <w:color w:val="464FEB"/>
            <w:kern w:val="0"/>
            <w:sz w:val="21"/>
            <w:szCs w:val="21"/>
            <w14:ligatures w14:val="none"/>
          </w:rPr>
          <w:t>[3]</w:t>
        </w:r>
      </w:hyperlink>
      <w:r w:rsidRPr="004B25EF">
        <w:rPr>
          <w:rFonts w:ascii="Segoe UI" w:eastAsia="Times New Roman" w:hAnsi="Segoe UI" w:cs="Segoe UI"/>
          <w:kern w:val="0"/>
          <w:sz w:val="21"/>
          <w:szCs w:val="21"/>
          <w14:ligatures w14:val="none"/>
        </w:rPr>
        <w:t xml:space="preserve">). The </w:t>
      </w:r>
      <w:r w:rsidRPr="004B25EF">
        <w:rPr>
          <w:rFonts w:ascii="Segoe UI" w:eastAsia="Times New Roman" w:hAnsi="Segoe UI" w:cs="Segoe UI"/>
          <w:b/>
          <w:bCs/>
          <w:kern w:val="0"/>
          <w:sz w:val="21"/>
          <w:szCs w:val="21"/>
          <w14:ligatures w14:val="none"/>
        </w:rPr>
        <w:t>TR Lean Six Sigma Certification Event</w:t>
      </w:r>
      <w:r w:rsidRPr="004B25EF">
        <w:rPr>
          <w:rFonts w:ascii="Segoe UI" w:eastAsia="Times New Roman" w:hAnsi="Segoe UI" w:cs="Segoe UI"/>
          <w:kern w:val="0"/>
          <w:sz w:val="21"/>
          <w:szCs w:val="21"/>
          <w14:ligatures w14:val="none"/>
        </w:rPr>
        <w:t xml:space="preserve"> recap (Sep 2024) records leadership’s endorsement, with senior executives like Pradeep </w:t>
      </w:r>
      <w:proofErr w:type="spellStart"/>
      <w:r w:rsidRPr="004B25EF">
        <w:rPr>
          <w:rFonts w:ascii="Segoe UI" w:eastAsia="Times New Roman" w:hAnsi="Segoe UI" w:cs="Segoe UI"/>
          <w:kern w:val="0"/>
          <w:sz w:val="21"/>
          <w:szCs w:val="21"/>
          <w14:ligatures w14:val="none"/>
        </w:rPr>
        <w:t>Lankapalli</w:t>
      </w:r>
      <w:proofErr w:type="spellEnd"/>
      <w:r w:rsidRPr="004B25EF">
        <w:rPr>
          <w:rFonts w:ascii="Segoe UI" w:eastAsia="Times New Roman" w:hAnsi="Segoe UI" w:cs="Segoe UI"/>
          <w:kern w:val="0"/>
          <w:sz w:val="21"/>
          <w:szCs w:val="21"/>
          <w14:ligatures w14:val="none"/>
        </w:rPr>
        <w:t xml:space="preserve"> (Head of Global Services) emphasizing how these projects delivered millions in savings and quality gains</w:t>
      </w:r>
      <w:hyperlink r:id="rId101" w:history="1">
        <w:r w:rsidRPr="004B25EF">
          <w:rPr>
            <w:rFonts w:ascii="Segoe UI" w:eastAsia="Times New Roman" w:hAnsi="Segoe UI" w:cs="Segoe UI"/>
            <w:color w:val="464FEB"/>
            <w:kern w:val="0"/>
            <w:sz w:val="21"/>
            <w:szCs w:val="21"/>
            <w14:ligatures w14:val="none"/>
          </w:rPr>
          <w:t>[2]</w:t>
        </w:r>
      </w:hyperlink>
      <w:r w:rsidRPr="004B25EF">
        <w:rPr>
          <w:rFonts w:ascii="Segoe UI" w:eastAsia="Times New Roman" w:hAnsi="Segoe UI" w:cs="Segoe UI"/>
          <w:kern w:val="0"/>
          <w:sz w:val="21"/>
          <w:szCs w:val="21"/>
          <w14:ligatures w14:val="none"/>
        </w:rPr>
        <w:t xml:space="preserve">. Finally, the “Change Program” completion memo noted $600M in run-rate savings part-driven by operational efficiencies and workforce optimization – a strong indicator that the process initiatives are yielding financial results in line with their business cases. </w:t>
      </w:r>
    </w:p>
    <w:p w14:paraId="2A14113A"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lastRenderedPageBreak/>
        <w:t>Transformation Opportunities:</w:t>
      </w:r>
      <w:r w:rsidRPr="004B25EF">
        <w:rPr>
          <w:rFonts w:ascii="Segoe UI" w:eastAsia="Times New Roman" w:hAnsi="Segoe UI" w:cs="Segoe UI"/>
          <w:kern w:val="0"/>
          <w:sz w:val="21"/>
          <w:szCs w:val="21"/>
          <w14:ligatures w14:val="none"/>
        </w:rPr>
        <w:t xml:space="preserve"> Building on this momentum, Thomson Reuters can pursue further operational excellence opportunities. </w:t>
      </w:r>
      <w:r w:rsidRPr="004B25EF">
        <w:rPr>
          <w:rFonts w:ascii="Segoe UI" w:eastAsia="Times New Roman" w:hAnsi="Segoe UI" w:cs="Segoe UI"/>
          <w:b/>
          <w:bCs/>
          <w:kern w:val="0"/>
          <w:sz w:val="21"/>
          <w:szCs w:val="21"/>
          <w14:ligatures w14:val="none"/>
        </w:rPr>
        <w:t>Immediate (3–6 months):</w:t>
      </w:r>
      <w:r w:rsidRPr="004B25EF">
        <w:rPr>
          <w:rFonts w:ascii="Segoe UI" w:eastAsia="Times New Roman" w:hAnsi="Segoe UI" w:cs="Segoe UI"/>
          <w:kern w:val="0"/>
          <w:sz w:val="21"/>
          <w:szCs w:val="21"/>
          <w14:ligatures w14:val="none"/>
        </w:rPr>
        <w:t xml:space="preserve"> One opportunity is to </w:t>
      </w:r>
      <w:r w:rsidRPr="004B25EF">
        <w:rPr>
          <w:rFonts w:ascii="Segoe UI" w:eastAsia="Times New Roman" w:hAnsi="Segoe UI" w:cs="Segoe UI"/>
          <w:b/>
          <w:bCs/>
          <w:kern w:val="0"/>
          <w:sz w:val="21"/>
          <w:szCs w:val="21"/>
          <w14:ligatures w14:val="none"/>
        </w:rPr>
        <w:t>replicate successful automation pilots across more teams.</w:t>
      </w:r>
      <w:r w:rsidRPr="004B25EF">
        <w:rPr>
          <w:rFonts w:ascii="Segoe UI" w:eastAsia="Times New Roman" w:hAnsi="Segoe UI" w:cs="Segoe UI"/>
          <w:kern w:val="0"/>
          <w:sz w:val="21"/>
          <w:szCs w:val="21"/>
          <w14:ligatures w14:val="none"/>
        </w:rPr>
        <w:t xml:space="preserve"> For example, the bot that auto-updated legal case entries could be adapted for similar use in the Tax &amp; Accounting editorial process or even in Reuters News metadata tagging. By quickly scaling proven solutions, the company can capture “low-hanging fruit” efficiency gains. Also immediate is establishing a few additional </w:t>
      </w:r>
      <w:r w:rsidRPr="004B25EF">
        <w:rPr>
          <w:rFonts w:ascii="Segoe UI" w:eastAsia="Times New Roman" w:hAnsi="Segoe UI" w:cs="Segoe UI"/>
          <w:b/>
          <w:bCs/>
          <w:kern w:val="0"/>
          <w:sz w:val="21"/>
          <w:szCs w:val="21"/>
          <w14:ligatures w14:val="none"/>
        </w:rPr>
        <w:t>end-to-end process owners</w:t>
      </w:r>
      <w:r w:rsidRPr="004B25EF">
        <w:rPr>
          <w:rFonts w:ascii="Segoe UI" w:eastAsia="Times New Roman" w:hAnsi="Segoe UI" w:cs="Segoe UI"/>
          <w:kern w:val="0"/>
          <w:sz w:val="21"/>
          <w:szCs w:val="21"/>
          <w14:ligatures w14:val="none"/>
        </w:rPr>
        <w:t xml:space="preserve"> (if not already in place) – designate individuals who have cross-functional authority to optimize entire value streams (e.g., the quote-to-cash process owner who can cut through silos between Sales, Finance, and Operations). </w:t>
      </w:r>
      <w:r w:rsidRPr="004B25EF">
        <w:rPr>
          <w:rFonts w:ascii="Segoe UI" w:eastAsia="Times New Roman" w:hAnsi="Segoe UI" w:cs="Segoe UI"/>
          <w:b/>
          <w:bCs/>
          <w:kern w:val="0"/>
          <w:sz w:val="21"/>
          <w:szCs w:val="21"/>
          <w14:ligatures w14:val="none"/>
        </w:rPr>
        <w:t>Medium-term (6–18 months):</w:t>
      </w:r>
      <w:r w:rsidRPr="004B25EF">
        <w:rPr>
          <w:rFonts w:ascii="Segoe UI" w:eastAsia="Times New Roman" w:hAnsi="Segoe UI" w:cs="Segoe UI"/>
          <w:kern w:val="0"/>
          <w:sz w:val="21"/>
          <w:szCs w:val="21"/>
          <w14:ligatures w14:val="none"/>
        </w:rPr>
        <w:t xml:space="preserve"> Thomson Reuters could undertake a </w:t>
      </w:r>
      <w:r w:rsidRPr="004B25EF">
        <w:rPr>
          <w:rFonts w:ascii="Segoe UI" w:eastAsia="Times New Roman" w:hAnsi="Segoe UI" w:cs="Segoe UI"/>
          <w:b/>
          <w:bCs/>
          <w:kern w:val="0"/>
          <w:sz w:val="21"/>
          <w:szCs w:val="21"/>
          <w14:ligatures w14:val="none"/>
        </w:rPr>
        <w:t>Global Process Harmonization project</w:t>
      </w:r>
      <w:r w:rsidRPr="004B25EF">
        <w:rPr>
          <w:rFonts w:ascii="Segoe UI" w:eastAsia="Times New Roman" w:hAnsi="Segoe UI" w:cs="Segoe UI"/>
          <w:kern w:val="0"/>
          <w:sz w:val="21"/>
          <w:szCs w:val="21"/>
          <w14:ligatures w14:val="none"/>
        </w:rPr>
        <w:t xml:space="preserve"> targeting any remaining fragmented processes. Areas like customer onboarding, contract renewal, or content acquisition could be reviewed to ensure that the best practices from one segment (say, Legal) are standardized </w:t>
      </w:r>
      <w:proofErr w:type="gramStart"/>
      <w:r w:rsidRPr="004B25EF">
        <w:rPr>
          <w:rFonts w:ascii="Segoe UI" w:eastAsia="Times New Roman" w:hAnsi="Segoe UI" w:cs="Segoe UI"/>
          <w:kern w:val="0"/>
          <w:sz w:val="21"/>
          <w:szCs w:val="21"/>
          <w14:ligatures w14:val="none"/>
        </w:rPr>
        <w:t>company-wide</w:t>
      </w:r>
      <w:proofErr w:type="gramEnd"/>
      <w:r w:rsidRPr="004B25EF">
        <w:rPr>
          <w:rFonts w:ascii="Segoe UI" w:eastAsia="Times New Roman" w:hAnsi="Segoe UI" w:cs="Segoe UI"/>
          <w:kern w:val="0"/>
          <w:sz w:val="21"/>
          <w:szCs w:val="21"/>
          <w14:ligatures w14:val="none"/>
        </w:rPr>
        <w:t xml:space="preserve">. This might involve implementing a unified workflow tool or BPM system so that, for instance, every new customer – whether legal, corporate, or tax – goes through a similar, efficient onboarding sequence with standard data capture and welcome training. Another medium-term initiative could be to integrate </w:t>
      </w:r>
      <w:r w:rsidRPr="004B25EF">
        <w:rPr>
          <w:rFonts w:ascii="Segoe UI" w:eastAsia="Times New Roman" w:hAnsi="Segoe UI" w:cs="Segoe UI"/>
          <w:b/>
          <w:bCs/>
          <w:kern w:val="0"/>
          <w:sz w:val="21"/>
          <w:szCs w:val="21"/>
          <w14:ligatures w14:val="none"/>
        </w:rPr>
        <w:t>process analytics dashboards</w:t>
      </w:r>
      <w:r w:rsidRPr="004B25EF">
        <w:rPr>
          <w:rFonts w:ascii="Segoe UI" w:eastAsia="Times New Roman" w:hAnsi="Segoe UI" w:cs="Segoe UI"/>
          <w:kern w:val="0"/>
          <w:sz w:val="21"/>
          <w:szCs w:val="21"/>
          <w14:ligatures w14:val="none"/>
        </w:rPr>
        <w:t xml:space="preserve"> into daily management: equipping operational managers with real-time analytics (possibly AI-driven as noted) to manage by exception. This would make the operations more “autonomic,” where small process deviations trigger automatic corrections. </w:t>
      </w:r>
      <w:r w:rsidRPr="004B25EF">
        <w:rPr>
          <w:rFonts w:ascii="Segoe UI" w:eastAsia="Times New Roman" w:hAnsi="Segoe UI" w:cs="Segoe UI"/>
          <w:b/>
          <w:bCs/>
          <w:kern w:val="0"/>
          <w:sz w:val="21"/>
          <w:szCs w:val="21"/>
          <w14:ligatures w14:val="none"/>
        </w:rPr>
        <w:t>Long-term (18–36 months):</w:t>
      </w:r>
      <w:r w:rsidRPr="004B25EF">
        <w:rPr>
          <w:rFonts w:ascii="Segoe UI" w:eastAsia="Times New Roman" w:hAnsi="Segoe UI" w:cs="Segoe UI"/>
          <w:kern w:val="0"/>
          <w:sz w:val="21"/>
          <w:szCs w:val="21"/>
          <w14:ligatures w14:val="none"/>
        </w:rPr>
        <w:t xml:space="preserve"> Thomson Reuters can explore a deeper reimagining of operations with </w:t>
      </w:r>
      <w:proofErr w:type="spellStart"/>
      <w:r w:rsidRPr="004B25EF">
        <w:rPr>
          <w:rFonts w:ascii="Segoe UI" w:eastAsia="Times New Roman" w:hAnsi="Segoe UI" w:cs="Segoe UI"/>
          <w:b/>
          <w:bCs/>
          <w:kern w:val="0"/>
          <w:sz w:val="21"/>
          <w:szCs w:val="21"/>
          <w14:ligatures w14:val="none"/>
        </w:rPr>
        <w:t>hyperautomation</w:t>
      </w:r>
      <w:proofErr w:type="spellEnd"/>
      <w:r w:rsidRPr="004B25EF">
        <w:rPr>
          <w:rFonts w:ascii="Segoe UI" w:eastAsia="Times New Roman" w:hAnsi="Segoe UI" w:cs="Segoe UI"/>
          <w:b/>
          <w:bCs/>
          <w:kern w:val="0"/>
          <w:sz w:val="21"/>
          <w:szCs w:val="21"/>
          <w14:ligatures w14:val="none"/>
        </w:rPr>
        <w:t xml:space="preserve"> and AI at scale</w:t>
      </w:r>
      <w:r w:rsidRPr="004B25EF">
        <w:rPr>
          <w:rFonts w:ascii="Segoe UI" w:eastAsia="Times New Roman" w:hAnsi="Segoe UI" w:cs="Segoe UI"/>
          <w:kern w:val="0"/>
          <w:sz w:val="21"/>
          <w:szCs w:val="21"/>
          <w14:ligatures w14:val="none"/>
        </w:rPr>
        <w:t xml:space="preserve"> – envisioning semi-autonomous processes that require minimal human intervention. For example, in a few years the company could aim for a scenario where an incoming customer order is processed, configured, provisioned in software, billed, and confirmed entirely through an automated pipeline, with humans only handling exceptions or relationship aspects. This would leverage advanced technologies like AI agents or self-healing processes. Additionally, long-term synergy can be achieved by sharing operational innovations across the enterprise: Thomson Reuters might formalize an internal “Operational Excellence Exchange” where different departments showcase their improvements (a Sales Ops automation that could benefit Content Ops, etc.). Given the company’s now unified structure, cross-pollinating these ideas can significantly amplify productivity gains. </w:t>
      </w:r>
    </w:p>
    <w:p w14:paraId="5EE5A1CE"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Information Gaps &amp; Research Recommendations:</w:t>
      </w:r>
      <w:r w:rsidRPr="004B25EF">
        <w:rPr>
          <w:rFonts w:ascii="Segoe UI" w:eastAsia="Times New Roman" w:hAnsi="Segoe UI" w:cs="Segoe UI"/>
          <w:kern w:val="0"/>
          <w:sz w:val="21"/>
          <w:szCs w:val="21"/>
          <w14:ligatures w14:val="none"/>
        </w:rPr>
        <w:t xml:space="preserve"> While much is known about the completed improvements, further research could illuminate remaining bottlenecks. An important gap is </w:t>
      </w:r>
      <w:r w:rsidRPr="004B25EF">
        <w:rPr>
          <w:rFonts w:ascii="Segoe UI" w:eastAsia="Times New Roman" w:hAnsi="Segoe UI" w:cs="Segoe UI"/>
          <w:b/>
          <w:bCs/>
          <w:kern w:val="0"/>
          <w:sz w:val="21"/>
          <w:szCs w:val="21"/>
          <w14:ligatures w14:val="none"/>
        </w:rPr>
        <w:t>quantitative data on process performance</w:t>
      </w:r>
      <w:r w:rsidRPr="004B25EF">
        <w:rPr>
          <w:rFonts w:ascii="Segoe UI" w:eastAsia="Times New Roman" w:hAnsi="Segoe UI" w:cs="Segoe UI"/>
          <w:kern w:val="0"/>
          <w:sz w:val="21"/>
          <w:szCs w:val="21"/>
          <w14:ligatures w14:val="none"/>
        </w:rPr>
        <w:t xml:space="preserve"> post-transformation: for instance, what are the average lead times now versus two years ago for key processes? Obtaining internal audit or KPI documents would help quantify gains (e.g., a chart of support call resolution times pre- and post-chatbot). Similarly, understanding </w:t>
      </w:r>
      <w:r w:rsidRPr="004B25EF">
        <w:rPr>
          <w:rFonts w:ascii="Segoe UI" w:eastAsia="Times New Roman" w:hAnsi="Segoe UI" w:cs="Segoe UI"/>
          <w:b/>
          <w:bCs/>
          <w:kern w:val="0"/>
          <w:sz w:val="21"/>
          <w:szCs w:val="21"/>
          <w14:ligatures w14:val="none"/>
        </w:rPr>
        <w:t>employee workload changes</w:t>
      </w:r>
      <w:r w:rsidRPr="004B25EF">
        <w:rPr>
          <w:rFonts w:ascii="Segoe UI" w:eastAsia="Times New Roman" w:hAnsi="Segoe UI" w:cs="Segoe UI"/>
          <w:kern w:val="0"/>
          <w:sz w:val="21"/>
          <w:szCs w:val="21"/>
          <w14:ligatures w14:val="none"/>
        </w:rPr>
        <w:t xml:space="preserve"> (are employees able to handle more volume due to these optimizations?) would gauge the human impact; a follow-up survey or interviews with operational staff could provide insight into how their day-to-day has improved or new pain points that emerged. Another area for more data is the </w:t>
      </w:r>
      <w:r w:rsidRPr="004B25EF">
        <w:rPr>
          <w:rFonts w:ascii="Segoe UI" w:eastAsia="Times New Roman" w:hAnsi="Segoe UI" w:cs="Segoe UI"/>
          <w:b/>
          <w:bCs/>
          <w:kern w:val="0"/>
          <w:sz w:val="21"/>
          <w:szCs w:val="21"/>
          <w14:ligatures w14:val="none"/>
        </w:rPr>
        <w:t>sustainability of changes</w:t>
      </w:r>
      <w:r w:rsidRPr="004B25EF">
        <w:rPr>
          <w:rFonts w:ascii="Segoe UI" w:eastAsia="Times New Roman" w:hAnsi="Segoe UI" w:cs="Segoe UI"/>
          <w:kern w:val="0"/>
          <w:sz w:val="21"/>
          <w:szCs w:val="21"/>
          <w14:ligatures w14:val="none"/>
        </w:rPr>
        <w:t xml:space="preserve"> – have the improvements been sustained over time, or do some regress without ongoing attention? This might require checking internal compliance or quality reports for any slippages. Also, it would be useful to research how Thomson Reuters benchmarks against peers in operational efficiency: e.g., metrics like revenue per employee or operational cost ratios compared to similar info-services firms (RELX, Bloomberg). If Thomson Reuters still lags in any area, that’s an opportunity to focus efforts. Engaging with the company’s Process Excellence team to gather their roadmap (perhaps there is a 2024–2025 process improvement plan document) would fill any gaps regarding upcoming initiatives or resource needs. Finally, since technology and operations are intertwined, one should examine if any </w:t>
      </w:r>
      <w:r w:rsidRPr="004B25EF">
        <w:rPr>
          <w:rFonts w:ascii="Segoe UI" w:eastAsia="Times New Roman" w:hAnsi="Segoe UI" w:cs="Segoe UI"/>
          <w:b/>
          <w:bCs/>
          <w:kern w:val="0"/>
          <w:sz w:val="21"/>
          <w:szCs w:val="21"/>
          <w14:ligatures w14:val="none"/>
        </w:rPr>
        <w:t>legacy systems</w:t>
      </w:r>
      <w:r w:rsidRPr="004B25EF">
        <w:rPr>
          <w:rFonts w:ascii="Segoe UI" w:eastAsia="Times New Roman" w:hAnsi="Segoe UI" w:cs="Segoe UI"/>
          <w:kern w:val="0"/>
          <w:sz w:val="21"/>
          <w:szCs w:val="21"/>
          <w14:ligatures w14:val="none"/>
        </w:rPr>
        <w:t xml:space="preserve"> still in use are hindering processes (for example, if some old mainframe is still used for a niche product’s billing). Identifying these will highlight where future process optimization might stall unless tech debt is addressed – pointing to close coordination needed with the Technology transformation, which we explore next. </w:t>
      </w:r>
    </w:p>
    <w:p w14:paraId="2A7D3D78"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Summary:</w:t>
      </w:r>
      <w:r w:rsidRPr="004B25EF">
        <w:rPr>
          <w:rFonts w:ascii="Segoe UI" w:eastAsia="Times New Roman" w:hAnsi="Segoe UI" w:cs="Segoe UI"/>
          <w:kern w:val="0"/>
          <w:sz w:val="21"/>
          <w:szCs w:val="21"/>
          <w14:ligatures w14:val="none"/>
        </w:rPr>
        <w:t xml:space="preserve"> Through concerted efforts in process reengineering and operational simplification, Thomson Reuters has greatly enhanced its operational architecture. It has reduced complexity, embraced a culture of continuous improvement, and integrated automation to handle repetitive work. The organization demonstrates robust process governance and the ability to execute changes that yield measurable </w:t>
      </w:r>
      <w:r w:rsidRPr="004B25EF">
        <w:rPr>
          <w:rFonts w:ascii="Segoe UI" w:eastAsia="Times New Roman" w:hAnsi="Segoe UI" w:cs="Segoe UI"/>
          <w:kern w:val="0"/>
          <w:sz w:val="21"/>
          <w:szCs w:val="21"/>
          <w14:ligatures w14:val="none"/>
        </w:rPr>
        <w:lastRenderedPageBreak/>
        <w:t xml:space="preserve">efficiency and quality gains. As it builds on this foundation – eliminating remaining inefficiencies and scaling automation – Thomson Reuters is well-positioned to achieve a fully agile, end-to-end optimized operation that underpins its broader transformation ambitions. The machinery of the business is being tuned for speed and reliability, ensuring that innovative strategies won’t be hamstrung by operational frictions. </w:t>
      </w:r>
    </w:p>
    <w:p w14:paraId="21ABF212" w14:textId="77777777" w:rsidR="004B25EF" w:rsidRPr="004B25EF" w:rsidRDefault="00AF5BFA" w:rsidP="004B25EF">
      <w:pPr>
        <w:spacing w:after="0" w:line="300" w:lineRule="atLeast"/>
        <w:rPr>
          <w:rFonts w:ascii="Segoe UI" w:eastAsia="Times New Roman" w:hAnsi="Segoe UI" w:cs="Segoe UI"/>
          <w:kern w:val="0"/>
          <w:sz w:val="21"/>
          <w:szCs w:val="21"/>
          <w14:ligatures w14:val="none"/>
        </w:rPr>
      </w:pPr>
      <w:r>
        <w:rPr>
          <w:noProof/>
        </w:rPr>
      </w:r>
      <w:r w:rsidR="00AF5BFA">
        <w:rPr>
          <w:noProof/>
        </w:rPr>
        <w:pict w14:anchorId="7DBEF565">
          <v:rect id="Horizontal Line 21" o:spid="_x0000_s1039"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726F55" w14:textId="77777777" w:rsidR="004B25EF" w:rsidRPr="004B25EF" w:rsidRDefault="004B25EF" w:rsidP="004B25E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B25EF">
        <w:rPr>
          <w:rFonts w:ascii="Segoe UI" w:eastAsia="Times New Roman" w:hAnsi="Segoe UI" w:cs="Segoe UI"/>
          <w:b/>
          <w:bCs/>
          <w:kern w:val="0"/>
          <w:sz w:val="36"/>
          <w:szCs w:val="36"/>
          <w14:ligatures w14:val="none"/>
        </w:rPr>
        <w:t>TECHNOLOGY ECOSYSTEM &amp; DIGITAL TRANSFORMATION CAPABILITIES</w:t>
      </w:r>
    </w:p>
    <w:p w14:paraId="2D260511"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Assessment:</w:t>
      </w:r>
      <w:r w:rsidRPr="004B25EF">
        <w:rPr>
          <w:rFonts w:ascii="Segoe UI" w:eastAsia="Times New Roman" w:hAnsi="Segoe UI" w:cs="Segoe UI"/>
          <w:kern w:val="0"/>
          <w:sz w:val="21"/>
          <w:szCs w:val="21"/>
          <w14:ligatures w14:val="none"/>
        </w:rPr>
        <w:t xml:space="preserve"> The technology ecosystem of Thomson Reuters has undergone substantive modernization, making it a resilient and scalable platform for business transformation (Rating: </w:t>
      </w:r>
      <w:r w:rsidRPr="004B25EF">
        <w:rPr>
          <w:rFonts w:ascii="Segoe UI" w:eastAsia="Times New Roman" w:hAnsi="Segoe UI" w:cs="Segoe UI"/>
          <w:b/>
          <w:bCs/>
          <w:kern w:val="0"/>
          <w:sz w:val="21"/>
          <w:szCs w:val="21"/>
          <w14:ligatures w14:val="none"/>
        </w:rPr>
        <w:t>4/5</w:t>
      </w:r>
      <w:r w:rsidRPr="004B25EF">
        <w:rPr>
          <w:rFonts w:ascii="Segoe UI" w:eastAsia="Times New Roman" w:hAnsi="Segoe UI" w:cs="Segoe UI"/>
          <w:kern w:val="0"/>
          <w:sz w:val="21"/>
          <w:szCs w:val="21"/>
          <w14:ligatures w14:val="none"/>
        </w:rPr>
        <w:t xml:space="preserve">). The company has made bold moves to upgrade its IT infrastructure – notably </w:t>
      </w:r>
      <w:r w:rsidRPr="004B25EF">
        <w:rPr>
          <w:rFonts w:ascii="Segoe UI" w:eastAsia="Times New Roman" w:hAnsi="Segoe UI" w:cs="Segoe UI"/>
          <w:b/>
          <w:bCs/>
          <w:kern w:val="0"/>
          <w:sz w:val="21"/>
          <w:szCs w:val="21"/>
          <w14:ligatures w14:val="none"/>
        </w:rPr>
        <w:t>shifting from on-premises data centers to the cloud</w:t>
      </w:r>
      <w:r w:rsidRPr="004B25EF">
        <w:rPr>
          <w:rFonts w:ascii="Segoe UI" w:eastAsia="Times New Roman" w:hAnsi="Segoe UI" w:cs="Segoe UI"/>
          <w:kern w:val="0"/>
          <w:sz w:val="21"/>
          <w:szCs w:val="21"/>
          <w14:ligatures w14:val="none"/>
        </w:rPr>
        <w:t>, standardizing its software development tools, and consolidating myriad applications</w:t>
      </w:r>
      <w:hyperlink r:id="rId102" w:history="1">
        <w:r w:rsidRPr="004B25EF">
          <w:rPr>
            <w:rFonts w:ascii="Segoe UI" w:eastAsia="Times New Roman" w:hAnsi="Segoe UI" w:cs="Segoe UI"/>
            <w:color w:val="464FEB"/>
            <w:kern w:val="0"/>
            <w:sz w:val="21"/>
            <w:szCs w:val="21"/>
            <w14:ligatures w14:val="none"/>
          </w:rPr>
          <w:t>[1]</w:t>
        </w:r>
      </w:hyperlink>
      <w:hyperlink r:id="rId103"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These efforts improved system agility, security, and integration capabilities across the enterprise. Today, most flagship products (Westlaw, Checkpoint, OneSource, etc.) run on cloud-based architectures, and internal operations have largely transitioned to cloud services as well. The digital transformation capabilities (such as rapid application development, API exposure, and data integration) are much stronger than a few years ago. The one-point deduction in readiness comes from the residual technical debt that the company is still chipping away at – a handful of legacy systems and some fragmented data stores remain, which require continuing effort to fully modernize. However, the trajectory is firmly positive: Thomson Reuters’ tech stack and digital proficiencies are, for the most part, at a level needed to support an AI-enabled, end-to-end reimagination of its business functions. </w:t>
      </w:r>
    </w:p>
    <w:p w14:paraId="269D3A5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Key Internal Findings:</w:t>
      </w:r>
      <w:r w:rsidRPr="004B25EF">
        <w:rPr>
          <w:rFonts w:ascii="Segoe UI" w:eastAsia="Times New Roman" w:hAnsi="Segoe UI" w:cs="Segoe UI"/>
          <w:kern w:val="0"/>
          <w:sz w:val="21"/>
          <w:szCs w:val="21"/>
          <w14:ligatures w14:val="none"/>
        </w:rPr>
        <w:t xml:space="preserve"> Internally, the tech overhaul can be seen in several dimensions: infrastructure, applications, and ways of working. On the infrastructure side, a critical finding was the high cost and inflexibility of maintaining numerous private data centers around the world. In response, Thomson Reuters embarked on a “</w:t>
      </w:r>
      <w:r w:rsidRPr="004B25EF">
        <w:rPr>
          <w:rFonts w:ascii="Segoe UI" w:eastAsia="Times New Roman" w:hAnsi="Segoe UI" w:cs="Segoe UI"/>
          <w:b/>
          <w:bCs/>
          <w:kern w:val="0"/>
          <w:sz w:val="21"/>
          <w:szCs w:val="21"/>
          <w14:ligatures w14:val="none"/>
        </w:rPr>
        <w:t>cloud-first</w:t>
      </w:r>
      <w:r w:rsidRPr="004B25EF">
        <w:rPr>
          <w:rFonts w:ascii="Segoe UI" w:eastAsia="Times New Roman" w:hAnsi="Segoe UI" w:cs="Segoe UI"/>
          <w:kern w:val="0"/>
          <w:sz w:val="21"/>
          <w:szCs w:val="21"/>
          <w14:ligatures w14:val="none"/>
        </w:rPr>
        <w:t xml:space="preserve">” strategy. As of 2023, the company has </w:t>
      </w:r>
      <w:r w:rsidRPr="004B25EF">
        <w:rPr>
          <w:rFonts w:ascii="Segoe UI" w:eastAsia="Times New Roman" w:hAnsi="Segoe UI" w:cs="Segoe UI"/>
          <w:b/>
          <w:bCs/>
          <w:kern w:val="0"/>
          <w:sz w:val="21"/>
          <w:szCs w:val="21"/>
          <w14:ligatures w14:val="none"/>
        </w:rPr>
        <w:t>fully exited its owned data centers</w:t>
      </w:r>
      <w:r w:rsidRPr="004B25EF">
        <w:rPr>
          <w:rFonts w:ascii="Segoe UI" w:eastAsia="Times New Roman" w:hAnsi="Segoe UI" w:cs="Segoe UI"/>
          <w:kern w:val="0"/>
          <w:sz w:val="21"/>
          <w:szCs w:val="21"/>
          <w14:ligatures w14:val="none"/>
        </w:rPr>
        <w:t>, migrating the vast majority of workloads to public cloud providers</w:t>
      </w:r>
      <w:hyperlink r:id="rId104"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This not only reduced overhead and improved resilience (cloud redundancy far exceeds what TR had </w:t>
      </w:r>
      <w:proofErr w:type="gramStart"/>
      <w:r w:rsidRPr="004B25EF">
        <w:rPr>
          <w:rFonts w:ascii="Segoe UI" w:eastAsia="Times New Roman" w:hAnsi="Segoe UI" w:cs="Segoe UI"/>
          <w:kern w:val="0"/>
          <w:sz w:val="21"/>
          <w:szCs w:val="21"/>
          <w14:ligatures w14:val="none"/>
        </w:rPr>
        <w:t>on-premise</w:t>
      </w:r>
      <w:proofErr w:type="gramEnd"/>
      <w:r w:rsidRPr="004B25EF">
        <w:rPr>
          <w:rFonts w:ascii="Segoe UI" w:eastAsia="Times New Roman" w:hAnsi="Segoe UI" w:cs="Segoe UI"/>
          <w:kern w:val="0"/>
          <w:sz w:val="21"/>
          <w:szCs w:val="21"/>
          <w14:ligatures w14:val="none"/>
        </w:rPr>
        <w:t xml:space="preserve">) but also cut down provisioning times for new environments from weeks to hours. Another finding was the proliferation of separate authentication and customer identity systems that frustrated users who subscribe to multiple TR products. To address this, the technology team rolled out the </w:t>
      </w:r>
      <w:r w:rsidRPr="004B25EF">
        <w:rPr>
          <w:rFonts w:ascii="Segoe UI" w:eastAsia="Times New Roman" w:hAnsi="Segoe UI" w:cs="Segoe UI"/>
          <w:b/>
          <w:bCs/>
          <w:kern w:val="0"/>
          <w:sz w:val="21"/>
          <w:szCs w:val="21"/>
          <w14:ligatures w14:val="none"/>
        </w:rPr>
        <w:t>“Thomson Reuters Account” unified login system</w:t>
      </w:r>
      <w:r w:rsidRPr="004B25EF">
        <w:rPr>
          <w:rFonts w:ascii="Segoe UI" w:eastAsia="Times New Roman" w:hAnsi="Segoe UI" w:cs="Segoe UI"/>
          <w:kern w:val="0"/>
          <w:sz w:val="21"/>
          <w:szCs w:val="21"/>
          <w14:ligatures w14:val="none"/>
        </w:rPr>
        <w:t xml:space="preserve"> across products in 2025, replacing legacy OnePass credentials</w:t>
      </w:r>
      <w:hyperlink r:id="rId105" w:history="1">
        <w:r w:rsidRPr="004B25EF">
          <w:rPr>
            <w:rFonts w:ascii="Segoe UI" w:eastAsia="Times New Roman" w:hAnsi="Segoe UI" w:cs="Segoe UI"/>
            <w:color w:val="464FEB"/>
            <w:kern w:val="0"/>
            <w:sz w:val="21"/>
            <w:szCs w:val="21"/>
            <w14:ligatures w14:val="none"/>
          </w:rPr>
          <w:t>[7]</w:t>
        </w:r>
      </w:hyperlink>
      <w:r w:rsidRPr="004B25EF">
        <w:rPr>
          <w:rFonts w:ascii="Segoe UI" w:eastAsia="Times New Roman" w:hAnsi="Segoe UI" w:cs="Segoe UI"/>
          <w:kern w:val="0"/>
          <w:sz w:val="21"/>
          <w:szCs w:val="21"/>
          <w14:ligatures w14:val="none"/>
        </w:rPr>
        <w:t xml:space="preserve">. This means a customer or employee now uses a single identity to access all authorized TR services, greatly simplifying user experience and enabling a 360° view of user activity. In terms of software applications, Thomson Reuters discovered significant overlap and redundancy – for example, multiple content management systems and search engines were in use by different products. The response has been to consolidate onto common platforms and shared services: the company is moving toward a </w:t>
      </w:r>
      <w:r w:rsidRPr="004B25EF">
        <w:rPr>
          <w:rFonts w:ascii="Segoe UI" w:eastAsia="Times New Roman" w:hAnsi="Segoe UI" w:cs="Segoe UI"/>
          <w:b/>
          <w:bCs/>
          <w:kern w:val="0"/>
          <w:sz w:val="21"/>
          <w:szCs w:val="21"/>
          <w14:ligatures w14:val="none"/>
        </w:rPr>
        <w:t>modular architecture</w:t>
      </w:r>
      <w:r w:rsidRPr="004B25EF">
        <w:rPr>
          <w:rFonts w:ascii="Segoe UI" w:eastAsia="Times New Roman" w:hAnsi="Segoe UI" w:cs="Segoe UI"/>
          <w:kern w:val="0"/>
          <w:sz w:val="21"/>
          <w:szCs w:val="21"/>
          <w14:ligatures w14:val="none"/>
        </w:rPr>
        <w:t xml:space="preserve"> where core capabilities (like search, authentication, billing, editorial workbench tools) are built once and reused across product lines</w:t>
      </w:r>
      <w:hyperlink r:id="rId106"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A concrete outcome is the development of a unified content platform (internally known as “Cobalt”) that feeds content to various products via APIs, instead of each product maintaining its own content store. Moreover, Thomson Reuters has integrated key enterprise systems: it standardized on </w:t>
      </w:r>
      <w:r w:rsidRPr="004B25EF">
        <w:rPr>
          <w:rFonts w:ascii="Segoe UI" w:eastAsia="Times New Roman" w:hAnsi="Segoe UI" w:cs="Segoe UI"/>
          <w:b/>
          <w:bCs/>
          <w:kern w:val="0"/>
          <w:sz w:val="21"/>
          <w:szCs w:val="21"/>
          <w14:ligatures w14:val="none"/>
        </w:rPr>
        <w:t>SAP for finance and procurement</w:t>
      </w:r>
      <w:r w:rsidRPr="004B25EF">
        <w:rPr>
          <w:rFonts w:ascii="Segoe UI" w:eastAsia="Times New Roman" w:hAnsi="Segoe UI" w:cs="Segoe UI"/>
          <w:kern w:val="0"/>
          <w:sz w:val="21"/>
          <w:szCs w:val="21"/>
          <w14:ligatures w14:val="none"/>
        </w:rPr>
        <w:t xml:space="preserve"> and a unified CRM (Salesforce) for all customer data, feeding into a central data warehouse. This integration was a massive effort but now enables far better cross-department analytics and reduces errors from manual data reconciliation. Finally, a crucial finding pertains to the organization’s tech culture: prior to transformation, development teams often operated in silos with waterfall project methods. The company has since adopted </w:t>
      </w:r>
      <w:r w:rsidRPr="004B25EF">
        <w:rPr>
          <w:rFonts w:ascii="Segoe UI" w:eastAsia="Times New Roman" w:hAnsi="Segoe UI" w:cs="Segoe UI"/>
          <w:b/>
          <w:bCs/>
          <w:kern w:val="0"/>
          <w:sz w:val="21"/>
          <w:szCs w:val="21"/>
          <w14:ligatures w14:val="none"/>
        </w:rPr>
        <w:t>Agile and DevOps practices</w:t>
      </w:r>
      <w:r w:rsidRPr="004B25EF">
        <w:rPr>
          <w:rFonts w:ascii="Segoe UI" w:eastAsia="Times New Roman" w:hAnsi="Segoe UI" w:cs="Segoe UI"/>
          <w:kern w:val="0"/>
          <w:sz w:val="21"/>
          <w:szCs w:val="21"/>
          <w14:ligatures w14:val="none"/>
        </w:rPr>
        <w:t xml:space="preserve"> widely. Now, cross-functional “pods” deliver software in iterative sprints, and build pipelines are automated through Azure DevOps (ADO) with continuous integration. This cultural and process shift has increased the release frequency of product updates </w:t>
      </w:r>
      <w:r w:rsidRPr="004B25EF">
        <w:rPr>
          <w:rFonts w:ascii="Segoe UI" w:eastAsia="Times New Roman" w:hAnsi="Segoe UI" w:cs="Segoe UI"/>
          <w:kern w:val="0"/>
          <w:sz w:val="21"/>
          <w:szCs w:val="21"/>
          <w14:ligatures w14:val="none"/>
        </w:rPr>
        <w:lastRenderedPageBreak/>
        <w:t xml:space="preserve">(for example, Westlaw now does updates monthly rather than quarterly) and allowed technology to respond faster to business needs. </w:t>
      </w:r>
    </w:p>
    <w:p w14:paraId="78D2E06E"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AI Integration Context:</w:t>
      </w:r>
      <w:r w:rsidRPr="004B25EF">
        <w:rPr>
          <w:rFonts w:ascii="Segoe UI" w:eastAsia="Times New Roman" w:hAnsi="Segoe UI" w:cs="Segoe UI"/>
          <w:kern w:val="0"/>
          <w:sz w:val="21"/>
          <w:szCs w:val="21"/>
          <w14:ligatures w14:val="none"/>
        </w:rPr>
        <w:t xml:space="preserve"> The modernized technology ecosystem is intentionally built to accommodate and accelerate AI integration. Thomson Reuters has established a robust data pipeline and cloud-based </w:t>
      </w:r>
      <w:proofErr w:type="spellStart"/>
      <w:r w:rsidRPr="004B25EF">
        <w:rPr>
          <w:rFonts w:ascii="Segoe UI" w:eastAsia="Times New Roman" w:hAnsi="Segoe UI" w:cs="Segoe UI"/>
          <w:kern w:val="0"/>
          <w:sz w:val="21"/>
          <w:szCs w:val="21"/>
          <w14:ligatures w14:val="none"/>
        </w:rPr>
        <w:t>compute</w:t>
      </w:r>
      <w:proofErr w:type="spellEnd"/>
      <w:r w:rsidRPr="004B25EF">
        <w:rPr>
          <w:rFonts w:ascii="Segoe UI" w:eastAsia="Times New Roman" w:hAnsi="Segoe UI" w:cs="Segoe UI"/>
          <w:kern w:val="0"/>
          <w:sz w:val="21"/>
          <w:szCs w:val="21"/>
          <w14:ligatures w14:val="none"/>
        </w:rPr>
        <w:t xml:space="preserve"> resources, which are essential for training and deploying machine learning models at scale. An example of AI-ready tech is the </w:t>
      </w:r>
      <w:r w:rsidRPr="004B25EF">
        <w:rPr>
          <w:rFonts w:ascii="Segoe UI" w:eastAsia="Times New Roman" w:hAnsi="Segoe UI" w:cs="Segoe UI"/>
          <w:b/>
          <w:bCs/>
          <w:kern w:val="0"/>
          <w:sz w:val="21"/>
          <w:szCs w:val="21"/>
          <w14:ligatures w14:val="none"/>
        </w:rPr>
        <w:t>data lake architecture</w:t>
      </w:r>
      <w:r w:rsidRPr="004B25EF">
        <w:rPr>
          <w:rFonts w:ascii="Segoe UI" w:eastAsia="Times New Roman" w:hAnsi="Segoe UI" w:cs="Segoe UI"/>
          <w:kern w:val="0"/>
          <w:sz w:val="21"/>
          <w:szCs w:val="21"/>
          <w14:ligatures w14:val="none"/>
        </w:rPr>
        <w:t xml:space="preserve"> implemented under the Change Program’s initiative #4</w:t>
      </w:r>
      <w:hyperlink r:id="rId107"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it organizes vast troves of legal, tax, and news data with proper tagging and governance, so that AI models (like NLP for legal research) can easily consume high-quality, labeled data. The company’s use of APIs is another boon for AI – by exposing services via APIs, Thomson Reuters can plug AI capabilities into different products without re-building from scratch. For instance, the </w:t>
      </w:r>
      <w:proofErr w:type="spellStart"/>
      <w:r w:rsidRPr="004B25EF">
        <w:rPr>
          <w:rFonts w:ascii="Segoe UI" w:eastAsia="Times New Roman" w:hAnsi="Segoe UI" w:cs="Segoe UI"/>
          <w:b/>
          <w:bCs/>
          <w:kern w:val="0"/>
          <w:sz w:val="21"/>
          <w:szCs w:val="21"/>
          <w14:ligatures w14:val="none"/>
        </w:rPr>
        <w:t>CoCounsel</w:t>
      </w:r>
      <w:proofErr w:type="spellEnd"/>
      <w:r w:rsidRPr="004B25EF">
        <w:rPr>
          <w:rFonts w:ascii="Segoe UI" w:eastAsia="Times New Roman" w:hAnsi="Segoe UI" w:cs="Segoe UI"/>
          <w:b/>
          <w:bCs/>
          <w:kern w:val="0"/>
          <w:sz w:val="21"/>
          <w:szCs w:val="21"/>
          <w14:ligatures w14:val="none"/>
        </w:rPr>
        <w:t xml:space="preserve"> AI engine</w:t>
      </w:r>
      <w:r w:rsidRPr="004B25EF">
        <w:rPr>
          <w:rFonts w:ascii="Segoe UI" w:eastAsia="Times New Roman" w:hAnsi="Segoe UI" w:cs="Segoe UI"/>
          <w:kern w:val="0"/>
          <w:sz w:val="21"/>
          <w:szCs w:val="21"/>
          <w14:ligatures w14:val="none"/>
        </w:rPr>
        <w:t xml:space="preserve"> developed (via </w:t>
      </w:r>
      <w:proofErr w:type="spellStart"/>
      <w:r w:rsidRPr="004B25EF">
        <w:rPr>
          <w:rFonts w:ascii="Segoe UI" w:eastAsia="Times New Roman" w:hAnsi="Segoe UI" w:cs="Segoe UI"/>
          <w:kern w:val="0"/>
          <w:sz w:val="21"/>
          <w:szCs w:val="21"/>
          <w14:ligatures w14:val="none"/>
        </w:rPr>
        <w:t>Casetext</w:t>
      </w:r>
      <w:proofErr w:type="spellEnd"/>
      <w:r w:rsidRPr="004B25EF">
        <w:rPr>
          <w:rFonts w:ascii="Segoe UI" w:eastAsia="Times New Roman" w:hAnsi="Segoe UI" w:cs="Segoe UI"/>
          <w:kern w:val="0"/>
          <w:sz w:val="21"/>
          <w:szCs w:val="21"/>
          <w14:ligatures w14:val="none"/>
        </w:rPr>
        <w:t xml:space="preserve">) can be accessed by multiple interfaces – Westlaw, Practical Law, or HighQ – through API calls, making AI a shared service. In its internal tech operations, Thomson Reuters is integrating AI for IT service management and software quality. They have begun using </w:t>
      </w:r>
      <w:proofErr w:type="spellStart"/>
      <w:r w:rsidRPr="004B25EF">
        <w:rPr>
          <w:rFonts w:ascii="Segoe UI" w:eastAsia="Times New Roman" w:hAnsi="Segoe UI" w:cs="Segoe UI"/>
          <w:kern w:val="0"/>
          <w:sz w:val="21"/>
          <w:szCs w:val="21"/>
          <w14:ligatures w14:val="none"/>
        </w:rPr>
        <w:t>AIops</w:t>
      </w:r>
      <w:proofErr w:type="spellEnd"/>
      <w:r w:rsidRPr="004B25EF">
        <w:rPr>
          <w:rFonts w:ascii="Segoe UI" w:eastAsia="Times New Roman" w:hAnsi="Segoe UI" w:cs="Segoe UI"/>
          <w:kern w:val="0"/>
          <w:sz w:val="21"/>
          <w:szCs w:val="21"/>
          <w14:ligatures w14:val="none"/>
        </w:rPr>
        <w:t xml:space="preserve"> tools that analyze system logs to predict outages or automatically resolve incidents (reducing downtime for customers). Also, QA teams employ ML-driven test automation to find software bugs more efficiently. One noteworthy integration is about </w:t>
      </w:r>
      <w:r w:rsidRPr="004B25EF">
        <w:rPr>
          <w:rFonts w:ascii="Segoe UI" w:eastAsia="Times New Roman" w:hAnsi="Segoe UI" w:cs="Segoe UI"/>
          <w:b/>
          <w:bCs/>
          <w:kern w:val="0"/>
          <w:sz w:val="21"/>
          <w:szCs w:val="21"/>
          <w14:ligatures w14:val="none"/>
        </w:rPr>
        <w:t>Responsible AI</w:t>
      </w:r>
      <w:r w:rsidRPr="004B25EF">
        <w:rPr>
          <w:rFonts w:ascii="Segoe UI" w:eastAsia="Times New Roman" w:hAnsi="Segoe UI" w:cs="Segoe UI"/>
          <w:kern w:val="0"/>
          <w:sz w:val="21"/>
          <w:szCs w:val="21"/>
          <w14:ligatures w14:val="none"/>
        </w:rPr>
        <w:t xml:space="preserve"> – the tech ecosystem has guardrails where needed. The company set up an AI governance framework such that any new AI service goes through extra scrutiny (bias testing, security review) in the architecture governance process</w:t>
      </w:r>
      <w:hyperlink r:id="rId108" w:history="1">
        <w:r w:rsidRPr="004B25EF">
          <w:rPr>
            <w:rFonts w:ascii="Segoe UI" w:eastAsia="Times New Roman" w:hAnsi="Segoe UI" w:cs="Segoe UI"/>
            <w:color w:val="464FEB"/>
            <w:kern w:val="0"/>
            <w:sz w:val="21"/>
            <w:szCs w:val="21"/>
            <w14:ligatures w14:val="none"/>
          </w:rPr>
          <w:t>[8]</w:t>
        </w:r>
      </w:hyperlink>
      <w:r w:rsidRPr="004B25EF">
        <w:rPr>
          <w:rFonts w:ascii="Segoe UI" w:eastAsia="Times New Roman" w:hAnsi="Segoe UI" w:cs="Segoe UI"/>
          <w:kern w:val="0"/>
          <w:sz w:val="21"/>
          <w:szCs w:val="21"/>
          <w14:ligatures w14:val="none"/>
        </w:rPr>
        <w:t xml:space="preserve">. For example, deploying a new AI feature requires a “Responsible AI” permit from InfoSec, ensuring compliance with data privacy and ethical standards. This is facilitated by standard platforms; because most development is on a common cloud and ADO pipeline, enforcing such governance uniformly is feasible. In short, the technology backbone now in place is not only enabling current AI projects but is flexible and governed enough to incorporate future AI innovations safely and efficiently. </w:t>
      </w:r>
    </w:p>
    <w:p w14:paraId="4CF8E634"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Supporting Internal Evidence:</w:t>
      </w:r>
      <w:r w:rsidRPr="004B25EF">
        <w:rPr>
          <w:rFonts w:ascii="Segoe UI" w:eastAsia="Times New Roman" w:hAnsi="Segoe UI" w:cs="Segoe UI"/>
          <w:kern w:val="0"/>
          <w:sz w:val="21"/>
          <w:szCs w:val="21"/>
          <w14:ligatures w14:val="none"/>
        </w:rPr>
        <w:t xml:space="preserve"> Evidence of Thomson Reuters’ tech modernization is found in strategy documents and tech team updates. The 2022 Annual Report and Investor communications highlight that the company </w:t>
      </w:r>
      <w:r w:rsidRPr="004B25EF">
        <w:rPr>
          <w:rFonts w:ascii="Segoe UI" w:eastAsia="Times New Roman" w:hAnsi="Segoe UI" w:cs="Segoe UI"/>
          <w:b/>
          <w:bCs/>
          <w:kern w:val="0"/>
          <w:sz w:val="21"/>
          <w:szCs w:val="21"/>
          <w14:ligatures w14:val="none"/>
        </w:rPr>
        <w:t>completed its cloud migration initiative, achieving improved resiliency and faster time-to-market for products</w:t>
      </w:r>
      <w:hyperlink r:id="rId109"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They note that by eliminating legacy infrastructure, TR could reallocate funds into product innovation (a portion of the $100M annual AI investment is essentially funded by savings from retired hardware). Internal newsletters from the CTO’s office in 2023 announced milestones like “All North American products are now on AWS/Azure cloud”, celebrating the decommissioning of the last on-prem server clusters. The Q2 2025 Technology Town Hall deck gave tangible stats: e.g., “Migration of 500+ applications to cloud, retirement of 1,200 physical servers” and improvement in cyber posture evidenced by a 40% reduction in high-severity vulnerabilities due to standardized patching in cloud environments (these were presented as key wins). On the application side, an internal case study on the </w:t>
      </w:r>
      <w:r w:rsidRPr="004B25EF">
        <w:rPr>
          <w:rFonts w:ascii="Segoe UI" w:eastAsia="Times New Roman" w:hAnsi="Segoe UI" w:cs="Segoe UI"/>
          <w:b/>
          <w:bCs/>
          <w:kern w:val="0"/>
          <w:sz w:val="21"/>
          <w:szCs w:val="21"/>
          <w14:ligatures w14:val="none"/>
        </w:rPr>
        <w:t>Thomson Reuters Account (CIAM) project</w:t>
      </w:r>
      <w:r w:rsidRPr="004B25EF">
        <w:rPr>
          <w:rFonts w:ascii="Segoe UI" w:eastAsia="Times New Roman" w:hAnsi="Segoe UI" w:cs="Segoe UI"/>
          <w:kern w:val="0"/>
          <w:sz w:val="21"/>
          <w:szCs w:val="21"/>
          <w14:ligatures w14:val="none"/>
        </w:rPr>
        <w:t xml:space="preserve"> provides evidence of the benefits – it documented a reduction in customer login-related support tickets by 30% after unified login launched</w:t>
      </w:r>
      <w:hyperlink r:id="rId110" w:history="1">
        <w:r w:rsidRPr="004B25EF">
          <w:rPr>
            <w:rFonts w:ascii="Segoe UI" w:eastAsia="Times New Roman" w:hAnsi="Segoe UI" w:cs="Segoe UI"/>
            <w:color w:val="464FEB"/>
            <w:kern w:val="0"/>
            <w:sz w:val="21"/>
            <w:szCs w:val="21"/>
            <w14:ligatures w14:val="none"/>
          </w:rPr>
          <w:t>[7]</w:t>
        </w:r>
      </w:hyperlink>
      <w:r w:rsidRPr="004B25EF">
        <w:rPr>
          <w:rFonts w:ascii="Segoe UI" w:eastAsia="Times New Roman" w:hAnsi="Segoe UI" w:cs="Segoe UI"/>
          <w:kern w:val="0"/>
          <w:sz w:val="21"/>
          <w:szCs w:val="21"/>
          <w14:ligatures w14:val="none"/>
        </w:rPr>
        <w:t xml:space="preserve">, and noted that cross-product usage analytics became possible for the first time (sales identified thousands of customers using one TR product but not another, which became immediate cross-sell targets – a synergy unlocked by tech integration). Another piece of evidence comes from the </w:t>
      </w:r>
      <w:r w:rsidRPr="004B25EF">
        <w:rPr>
          <w:rFonts w:ascii="Segoe UI" w:eastAsia="Times New Roman" w:hAnsi="Segoe UI" w:cs="Segoe UI"/>
          <w:b/>
          <w:bCs/>
          <w:kern w:val="0"/>
          <w:sz w:val="21"/>
          <w:szCs w:val="21"/>
          <w14:ligatures w14:val="none"/>
        </w:rPr>
        <w:t>Architecture Governance Council</w:t>
      </w:r>
      <w:r w:rsidRPr="004B25EF">
        <w:rPr>
          <w:rFonts w:ascii="Segoe UI" w:eastAsia="Times New Roman" w:hAnsi="Segoe UI" w:cs="Segoe UI"/>
          <w:kern w:val="0"/>
          <w:sz w:val="21"/>
          <w:szCs w:val="21"/>
          <w14:ligatures w14:val="none"/>
        </w:rPr>
        <w:t xml:space="preserve"> meeting minutes: they show a new process where any tech design must map to the Product Operating Model and reference reuse of shared components</w:t>
      </w:r>
      <w:hyperlink r:id="rId111" w:history="1">
        <w:r w:rsidRPr="004B25EF">
          <w:rPr>
            <w:rFonts w:ascii="Segoe UI" w:eastAsia="Times New Roman" w:hAnsi="Segoe UI" w:cs="Segoe UI"/>
            <w:color w:val="464FEB"/>
            <w:kern w:val="0"/>
            <w:sz w:val="21"/>
            <w:szCs w:val="21"/>
            <w14:ligatures w14:val="none"/>
          </w:rPr>
          <w:t>[8]</w:t>
        </w:r>
      </w:hyperlink>
      <w:r w:rsidRPr="004B25EF">
        <w:rPr>
          <w:rFonts w:ascii="Segoe UI" w:eastAsia="Times New Roman" w:hAnsi="Segoe UI" w:cs="Segoe UI"/>
          <w:kern w:val="0"/>
          <w:sz w:val="21"/>
          <w:szCs w:val="21"/>
          <w14:ligatures w14:val="none"/>
        </w:rPr>
        <w:t xml:space="preserve">. For instance, a proposal for a new workflow tool was redirected to use an existing ServiceNow module rather than building afresh, demonstrating discipline in avoiding tech sprawl. Finally, the cultural shift is evident in metrics like deployment frequency and incident rates that the SRE (Site Reliability Engineering) team tracks. Post-DevOps adoption, deployment failure rates dropped significantly (one report indicates from 15% failure in 2019 to under 5% in 2023 for deployments) and Mean Time to Restore (MTTR) after incidents improved, reflecting a more robust, agile tech environment. </w:t>
      </w:r>
    </w:p>
    <w:p w14:paraId="03A437AE"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Opportunities:</w:t>
      </w:r>
      <w:r w:rsidRPr="004B25EF">
        <w:rPr>
          <w:rFonts w:ascii="Segoe UI" w:eastAsia="Times New Roman" w:hAnsi="Segoe UI" w:cs="Segoe UI"/>
          <w:kern w:val="0"/>
          <w:sz w:val="21"/>
          <w:szCs w:val="21"/>
          <w14:ligatures w14:val="none"/>
        </w:rPr>
        <w:t xml:space="preserve"> With major chunks of the tech foundation in place, Thomson Reuters can now capitalize on several opportunities. </w:t>
      </w:r>
      <w:r w:rsidRPr="004B25EF">
        <w:rPr>
          <w:rFonts w:ascii="Segoe UI" w:eastAsia="Times New Roman" w:hAnsi="Segoe UI" w:cs="Segoe UI"/>
          <w:b/>
          <w:bCs/>
          <w:kern w:val="0"/>
          <w:sz w:val="21"/>
          <w:szCs w:val="21"/>
          <w14:ligatures w14:val="none"/>
        </w:rPr>
        <w:t>Short-term (3–6 months):</w:t>
      </w:r>
      <w:r w:rsidRPr="004B25EF">
        <w:rPr>
          <w:rFonts w:ascii="Segoe UI" w:eastAsia="Times New Roman" w:hAnsi="Segoe UI" w:cs="Segoe UI"/>
          <w:kern w:val="0"/>
          <w:sz w:val="21"/>
          <w:szCs w:val="21"/>
          <w14:ligatures w14:val="none"/>
        </w:rPr>
        <w:t xml:space="preserve"> Focus on </w:t>
      </w:r>
      <w:r w:rsidRPr="004B25EF">
        <w:rPr>
          <w:rFonts w:ascii="Segoe UI" w:eastAsia="Times New Roman" w:hAnsi="Segoe UI" w:cs="Segoe UI"/>
          <w:b/>
          <w:bCs/>
          <w:kern w:val="0"/>
          <w:sz w:val="21"/>
          <w:szCs w:val="21"/>
          <w14:ligatures w14:val="none"/>
        </w:rPr>
        <w:t>optimizing cloud costs and performance.</w:t>
      </w:r>
      <w:r w:rsidRPr="004B25EF">
        <w:rPr>
          <w:rFonts w:ascii="Segoe UI" w:eastAsia="Times New Roman" w:hAnsi="Segoe UI" w:cs="Segoe UI"/>
          <w:kern w:val="0"/>
          <w:sz w:val="21"/>
          <w:szCs w:val="21"/>
          <w14:ligatures w14:val="none"/>
        </w:rPr>
        <w:t xml:space="preserve"> Now that everything is in the cloud, fine-tuning use of cloud resources (through techniques like rightsizing instances, using spot instances for batch jobs, etc.) can yield savings that can fund new features. </w:t>
      </w:r>
      <w:r w:rsidRPr="004B25EF">
        <w:rPr>
          <w:rFonts w:ascii="Segoe UI" w:eastAsia="Times New Roman" w:hAnsi="Segoe UI" w:cs="Segoe UI"/>
          <w:kern w:val="0"/>
          <w:sz w:val="21"/>
          <w:szCs w:val="21"/>
          <w14:ligatures w14:val="none"/>
        </w:rPr>
        <w:lastRenderedPageBreak/>
        <w:t xml:space="preserve">There’s also an opportunity to further leverage partnerships – e.g., deepening the relationship with cloud providers for advanced services (AI platforms, security tools). </w:t>
      </w:r>
      <w:r w:rsidRPr="004B25EF">
        <w:rPr>
          <w:rFonts w:ascii="Segoe UI" w:eastAsia="Times New Roman" w:hAnsi="Segoe UI" w:cs="Segoe UI"/>
          <w:b/>
          <w:bCs/>
          <w:kern w:val="0"/>
          <w:sz w:val="21"/>
          <w:szCs w:val="21"/>
          <w14:ligatures w14:val="none"/>
        </w:rPr>
        <w:t>Medium-term (6–18 months):</w:t>
      </w:r>
      <w:r w:rsidRPr="004B25EF">
        <w:rPr>
          <w:rFonts w:ascii="Segoe UI" w:eastAsia="Times New Roman" w:hAnsi="Segoe UI" w:cs="Segoe UI"/>
          <w:kern w:val="0"/>
          <w:sz w:val="21"/>
          <w:szCs w:val="21"/>
          <w14:ligatures w14:val="none"/>
        </w:rPr>
        <w:t xml:space="preserve"> Thomson Reuters could build a </w:t>
      </w:r>
      <w:r w:rsidRPr="004B25EF">
        <w:rPr>
          <w:rFonts w:ascii="Segoe UI" w:eastAsia="Times New Roman" w:hAnsi="Segoe UI" w:cs="Segoe UI"/>
          <w:b/>
          <w:bCs/>
          <w:kern w:val="0"/>
          <w:sz w:val="21"/>
          <w:szCs w:val="21"/>
          <w14:ligatures w14:val="none"/>
        </w:rPr>
        <w:t>unified developer portal and enterprise API marketplace</w:t>
      </w:r>
      <w:r w:rsidRPr="004B25EF">
        <w:rPr>
          <w:rFonts w:ascii="Segoe UI" w:eastAsia="Times New Roman" w:hAnsi="Segoe UI" w:cs="Segoe UI"/>
          <w:kern w:val="0"/>
          <w:sz w:val="21"/>
          <w:szCs w:val="21"/>
          <w14:ligatures w14:val="none"/>
        </w:rPr>
        <w:t xml:space="preserve">. With many services turned into APIs, making them easily discoverable and usable for internal developers (and even external partners) will encourage reuse and speed up innovation. For example, a tax team developer could quickly plug into the legal citation service API when building a new feature for a tax product. On a related note, continuing to modularize the platform into microservices, containerized for portability, will make the ecosystem even more flexible – medium-term might see TR adopting technologies like Kubernetes at scale for efficient multi-cloud deployments. Another medium-term initiative could be to </w:t>
      </w:r>
      <w:r w:rsidRPr="004B25EF">
        <w:rPr>
          <w:rFonts w:ascii="Segoe UI" w:eastAsia="Times New Roman" w:hAnsi="Segoe UI" w:cs="Segoe UI"/>
          <w:b/>
          <w:bCs/>
          <w:kern w:val="0"/>
          <w:sz w:val="21"/>
          <w:szCs w:val="21"/>
          <w14:ligatures w14:val="none"/>
        </w:rPr>
        <w:t>modernize remaining legacy applications</w:t>
      </w:r>
      <w:r w:rsidRPr="004B25EF">
        <w:rPr>
          <w:rFonts w:ascii="Segoe UI" w:eastAsia="Times New Roman" w:hAnsi="Segoe UI" w:cs="Segoe UI"/>
          <w:kern w:val="0"/>
          <w:sz w:val="21"/>
          <w:szCs w:val="21"/>
          <w14:ligatures w14:val="none"/>
        </w:rPr>
        <w:t xml:space="preserve">: perhaps a few </w:t>
      </w:r>
      <w:proofErr w:type="gramStart"/>
      <w:r w:rsidRPr="004B25EF">
        <w:rPr>
          <w:rFonts w:ascii="Segoe UI" w:eastAsia="Times New Roman" w:hAnsi="Segoe UI" w:cs="Segoe UI"/>
          <w:kern w:val="0"/>
          <w:sz w:val="21"/>
          <w:szCs w:val="21"/>
          <w14:ligatures w14:val="none"/>
        </w:rPr>
        <w:t>on-premise</w:t>
      </w:r>
      <w:proofErr w:type="gramEnd"/>
      <w:r w:rsidRPr="004B25EF">
        <w:rPr>
          <w:rFonts w:ascii="Segoe UI" w:eastAsia="Times New Roman" w:hAnsi="Segoe UI" w:cs="Segoe UI"/>
          <w:kern w:val="0"/>
          <w:sz w:val="21"/>
          <w:szCs w:val="21"/>
          <w14:ligatures w14:val="none"/>
        </w:rPr>
        <w:t xml:space="preserve"> solutions like a legacy editorial system or a regional product that hasn’t been revamped should be rewritten or retired. Targeting those will remove the last constraints. </w:t>
      </w:r>
      <w:r w:rsidRPr="004B25EF">
        <w:rPr>
          <w:rFonts w:ascii="Segoe UI" w:eastAsia="Times New Roman" w:hAnsi="Segoe UI" w:cs="Segoe UI"/>
          <w:b/>
          <w:bCs/>
          <w:kern w:val="0"/>
          <w:sz w:val="21"/>
          <w:szCs w:val="21"/>
          <w14:ligatures w14:val="none"/>
        </w:rPr>
        <w:t>Long-term (18–36 months):</w:t>
      </w:r>
      <w:r w:rsidRPr="004B25EF">
        <w:rPr>
          <w:rFonts w:ascii="Segoe UI" w:eastAsia="Times New Roman" w:hAnsi="Segoe UI" w:cs="Segoe UI"/>
          <w:kern w:val="0"/>
          <w:sz w:val="21"/>
          <w:szCs w:val="21"/>
          <w14:ligatures w14:val="none"/>
        </w:rPr>
        <w:t xml:space="preserve"> The technology vision could include becoming an </w:t>
      </w:r>
      <w:r w:rsidRPr="004B25EF">
        <w:rPr>
          <w:rFonts w:ascii="Segoe UI" w:eastAsia="Times New Roman" w:hAnsi="Segoe UI" w:cs="Segoe UI"/>
          <w:b/>
          <w:bCs/>
          <w:kern w:val="0"/>
          <w:sz w:val="21"/>
          <w:szCs w:val="21"/>
          <w14:ligatures w14:val="none"/>
        </w:rPr>
        <w:t>AI-centric platform provider</w:t>
      </w:r>
      <w:r w:rsidRPr="004B25EF">
        <w:rPr>
          <w:rFonts w:ascii="Segoe UI" w:eastAsia="Times New Roman" w:hAnsi="Segoe UI" w:cs="Segoe UI"/>
          <w:kern w:val="0"/>
          <w:sz w:val="21"/>
          <w:szCs w:val="21"/>
          <w14:ligatures w14:val="none"/>
        </w:rPr>
        <w:t xml:space="preserve">. Long-term, Thomson Reuters might </w:t>
      </w:r>
      <w:proofErr w:type="gramStart"/>
      <w:r w:rsidRPr="004B25EF">
        <w:rPr>
          <w:rFonts w:ascii="Segoe UI" w:eastAsia="Times New Roman" w:hAnsi="Segoe UI" w:cs="Segoe UI"/>
          <w:kern w:val="0"/>
          <w:sz w:val="21"/>
          <w:szCs w:val="21"/>
          <w14:ligatures w14:val="none"/>
        </w:rPr>
        <w:t>open up</w:t>
      </w:r>
      <w:proofErr w:type="gramEnd"/>
      <w:r w:rsidRPr="004B25EF">
        <w:rPr>
          <w:rFonts w:ascii="Segoe UI" w:eastAsia="Times New Roman" w:hAnsi="Segoe UI" w:cs="Segoe UI"/>
          <w:kern w:val="0"/>
          <w:sz w:val="21"/>
          <w:szCs w:val="21"/>
          <w14:ligatures w14:val="none"/>
        </w:rPr>
        <w:t xml:space="preserve"> its platform to clients in a more extensible way – for instance, offering a development environment where clients or partners can build custom apps on TR’s data and tools (a bit akin to Salesforce’s AppExchange, but for TR content and AI services). This would position TR not just as a content provider but as a technology platform in the legal and tax ecosystem. Also, pursuing emerging technologies in the next few years – perhaps exploring blockchain for certain legal transactions or advanced cryptography for data security – could further differentiate its tech capabilities. Finally, enhancing </w:t>
      </w:r>
      <w:r w:rsidRPr="004B25EF">
        <w:rPr>
          <w:rFonts w:ascii="Segoe UI" w:eastAsia="Times New Roman" w:hAnsi="Segoe UI" w:cs="Segoe UI"/>
          <w:b/>
          <w:bCs/>
          <w:kern w:val="0"/>
          <w:sz w:val="21"/>
          <w:szCs w:val="21"/>
          <w14:ligatures w14:val="none"/>
        </w:rPr>
        <w:t>cybersecurity and compliance automation</w:t>
      </w:r>
      <w:r w:rsidRPr="004B25EF">
        <w:rPr>
          <w:rFonts w:ascii="Segoe UI" w:eastAsia="Times New Roman" w:hAnsi="Segoe UI" w:cs="Segoe UI"/>
          <w:kern w:val="0"/>
          <w:sz w:val="21"/>
          <w:szCs w:val="21"/>
          <w14:ligatures w14:val="none"/>
        </w:rPr>
        <w:t xml:space="preserve"> is a perpetual long-term opportunity: as regulations evolve (like data residency laws), ensuring the cloud setup dynamically adapts (maybe deploying regional clouds, automated encryption key management, etc.) will be key. Thomson Reuters can aim to be seen as a leader in secure, compliant cloud operations, which is a selling point to enterprise customers. </w:t>
      </w:r>
    </w:p>
    <w:p w14:paraId="4DF8B912"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Information Gaps &amp; Research Recommendations:</w:t>
      </w:r>
      <w:r w:rsidRPr="004B25EF">
        <w:rPr>
          <w:rFonts w:ascii="Segoe UI" w:eastAsia="Times New Roman" w:hAnsi="Segoe UI" w:cs="Segoe UI"/>
          <w:kern w:val="0"/>
          <w:sz w:val="21"/>
          <w:szCs w:val="21"/>
          <w14:ligatures w14:val="none"/>
        </w:rPr>
        <w:t xml:space="preserve"> To ensure a comprehensive view, a few gaps in knowledge should be filled. We should seek more details on </w:t>
      </w:r>
      <w:r w:rsidRPr="004B25EF">
        <w:rPr>
          <w:rFonts w:ascii="Segoe UI" w:eastAsia="Times New Roman" w:hAnsi="Segoe UI" w:cs="Segoe UI"/>
          <w:b/>
          <w:bCs/>
          <w:kern w:val="0"/>
          <w:sz w:val="21"/>
          <w:szCs w:val="21"/>
          <w14:ligatures w14:val="none"/>
        </w:rPr>
        <w:t>which core systems are still legacy</w:t>
      </w:r>
      <w:r w:rsidRPr="004B25EF">
        <w:rPr>
          <w:rFonts w:ascii="Segoe UI" w:eastAsia="Times New Roman" w:hAnsi="Segoe UI" w:cs="Segoe UI"/>
          <w:kern w:val="0"/>
          <w:sz w:val="21"/>
          <w:szCs w:val="21"/>
          <w14:ligatures w14:val="none"/>
        </w:rPr>
        <w:t xml:space="preserve">. Perhaps an internal IT roadmap document or a technical debt register would enumerate systems pending modernization. Knowing this helps prioritize next steps. Another gap: </w:t>
      </w:r>
      <w:r w:rsidRPr="004B25EF">
        <w:rPr>
          <w:rFonts w:ascii="Segoe UI" w:eastAsia="Times New Roman" w:hAnsi="Segoe UI" w:cs="Segoe UI"/>
          <w:b/>
          <w:bCs/>
          <w:kern w:val="0"/>
          <w:sz w:val="21"/>
          <w:szCs w:val="21"/>
          <w14:ligatures w14:val="none"/>
        </w:rPr>
        <w:t>metrics around the impact of tech changes</w:t>
      </w:r>
      <w:r w:rsidRPr="004B25EF">
        <w:rPr>
          <w:rFonts w:ascii="Segoe UI" w:eastAsia="Times New Roman" w:hAnsi="Segoe UI" w:cs="Segoe UI"/>
          <w:kern w:val="0"/>
          <w:sz w:val="21"/>
          <w:szCs w:val="21"/>
          <w14:ligatures w14:val="none"/>
        </w:rPr>
        <w:t xml:space="preserve"> on business performance. For example, quantifying how much faster product development is post-Agile (maybe measured by time to deliver a certain common feature type) would solidify the case that tech transformation is driving business value. If not readily available, interviews with product managers could elicit anecdotes (e.g., “It used to take us 6 months to release a significant update, now we do it in 2 months”). Also, it’s worth researching </w:t>
      </w:r>
      <w:r w:rsidRPr="004B25EF">
        <w:rPr>
          <w:rFonts w:ascii="Segoe UI" w:eastAsia="Times New Roman" w:hAnsi="Segoe UI" w:cs="Segoe UI"/>
          <w:b/>
          <w:bCs/>
          <w:kern w:val="0"/>
          <w:sz w:val="21"/>
          <w:szCs w:val="21"/>
          <w14:ligatures w14:val="none"/>
        </w:rPr>
        <w:t>user satisfaction or client feedback regarding the technology changes</w:t>
      </w:r>
      <w:r w:rsidRPr="004B25EF">
        <w:rPr>
          <w:rFonts w:ascii="Segoe UI" w:eastAsia="Times New Roman" w:hAnsi="Segoe UI" w:cs="Segoe UI"/>
          <w:kern w:val="0"/>
          <w:sz w:val="21"/>
          <w:szCs w:val="21"/>
          <w14:ligatures w14:val="none"/>
        </w:rPr>
        <w:t xml:space="preserve"> – for instance, have clients noticed improved system reliability or performance? Data from customer NPS surveys or support feedback after tech incidents would be telling. On the internal side, understanding any </w:t>
      </w:r>
      <w:r w:rsidRPr="004B25EF">
        <w:rPr>
          <w:rFonts w:ascii="Segoe UI" w:eastAsia="Times New Roman" w:hAnsi="Segoe UI" w:cs="Segoe UI"/>
          <w:b/>
          <w:bCs/>
          <w:kern w:val="0"/>
          <w:sz w:val="21"/>
          <w:szCs w:val="21"/>
          <w14:ligatures w14:val="none"/>
        </w:rPr>
        <w:t>pain points developers still face</w:t>
      </w:r>
      <w:r w:rsidRPr="004B25EF">
        <w:rPr>
          <w:rFonts w:ascii="Segoe UI" w:eastAsia="Times New Roman" w:hAnsi="Segoe UI" w:cs="Segoe UI"/>
          <w:kern w:val="0"/>
          <w:sz w:val="21"/>
          <w:szCs w:val="21"/>
          <w14:ligatures w14:val="none"/>
        </w:rPr>
        <w:t xml:space="preserve"> could guide further action: do engineers feel they have the tools and autonomy needed, or are there complaints about, say, environment issues or bureaucracy in approvals? An internal developer satisfaction survey or forum could provide that insight. Additionally, a look at </w:t>
      </w:r>
      <w:r w:rsidRPr="004B25EF">
        <w:rPr>
          <w:rFonts w:ascii="Segoe UI" w:eastAsia="Times New Roman" w:hAnsi="Segoe UI" w:cs="Segoe UI"/>
          <w:b/>
          <w:bCs/>
          <w:kern w:val="0"/>
          <w:sz w:val="21"/>
          <w:szCs w:val="21"/>
          <w14:ligatures w14:val="none"/>
        </w:rPr>
        <w:t>competitor technology capabilities</w:t>
      </w:r>
      <w:r w:rsidRPr="004B25EF">
        <w:rPr>
          <w:rFonts w:ascii="Segoe UI" w:eastAsia="Times New Roman" w:hAnsi="Segoe UI" w:cs="Segoe UI"/>
          <w:kern w:val="0"/>
          <w:sz w:val="21"/>
          <w:szCs w:val="21"/>
          <w14:ligatures w14:val="none"/>
        </w:rPr>
        <w:t xml:space="preserve"> (like how </w:t>
      </w:r>
      <w:proofErr w:type="gramStart"/>
      <w:r w:rsidRPr="004B25EF">
        <w:rPr>
          <w:rFonts w:ascii="Segoe UI" w:eastAsia="Times New Roman" w:hAnsi="Segoe UI" w:cs="Segoe UI"/>
          <w:kern w:val="0"/>
          <w:sz w:val="21"/>
          <w:szCs w:val="21"/>
          <w14:ligatures w14:val="none"/>
        </w:rPr>
        <w:t>does TR’s tech stack compare</w:t>
      </w:r>
      <w:proofErr w:type="gramEnd"/>
      <w:r w:rsidRPr="004B25EF">
        <w:rPr>
          <w:rFonts w:ascii="Segoe UI" w:eastAsia="Times New Roman" w:hAnsi="Segoe UI" w:cs="Segoe UI"/>
          <w:kern w:val="0"/>
          <w:sz w:val="21"/>
          <w:szCs w:val="21"/>
          <w14:ligatures w14:val="none"/>
        </w:rPr>
        <w:t xml:space="preserve"> to LexisNexis or Bloomberg Law’s offerings?) would help in identifying if TR is ahead or needs to catch up in any area – this might be gleaned from industry analysts reports (e.g., Gartner or Forrester assessments of digital capabilities in the industry). Gathering these data points will refine the next stages of Thomson Reuters’ tech transformation, ensuring it remains not just modern, but cutting-edge relative to peers. </w:t>
      </w:r>
    </w:p>
    <w:p w14:paraId="59E0BD7B"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Summary:</w:t>
      </w:r>
      <w:r w:rsidRPr="004B25EF">
        <w:rPr>
          <w:rFonts w:ascii="Segoe UI" w:eastAsia="Times New Roman" w:hAnsi="Segoe UI" w:cs="Segoe UI"/>
          <w:kern w:val="0"/>
          <w:sz w:val="21"/>
          <w:szCs w:val="21"/>
          <w14:ligatures w14:val="none"/>
        </w:rPr>
        <w:t xml:space="preserve"> Thomson Reuters’ digital backbone has been significantly strengthened to support its transformation journey. Cloud-native infrastructure, consolidated platforms, and agile development practices have replaced the patchwork of legacy systems and slow processes. This technology ecosystem now provides the speed, scalability, and integration needed for innovative enhancements like AI to flourish across the business. While a few legacy remnants persist, the company’s technical capacity to execute end-to-end transformation is largely in place. With continued focus on optimization and staying abreast of new tech, Thomson Reuters’ IT environment will not be a bottleneck but rather a catalyst for the ongoing reimagination of its business functions, enabling rapid adaptation to new opportunities and challenges. </w:t>
      </w:r>
    </w:p>
    <w:p w14:paraId="1DD1FEA3" w14:textId="77777777" w:rsidR="004B25EF" w:rsidRPr="004B25EF" w:rsidRDefault="00AF5BFA" w:rsidP="004B25EF">
      <w:pPr>
        <w:spacing w:after="0" w:line="300" w:lineRule="atLeast"/>
        <w:rPr>
          <w:rFonts w:ascii="Segoe UI" w:eastAsia="Times New Roman" w:hAnsi="Segoe UI" w:cs="Segoe UI"/>
          <w:kern w:val="0"/>
          <w:sz w:val="21"/>
          <w:szCs w:val="21"/>
          <w14:ligatures w14:val="none"/>
        </w:rPr>
      </w:pPr>
      <w:r>
        <w:rPr>
          <w:noProof/>
        </w:rPr>
        <w:lastRenderedPageBreak/>
      </w:r>
      <w:r w:rsidR="00AF5BFA">
        <w:rPr>
          <w:noProof/>
        </w:rPr>
        <w:pict w14:anchorId="0E45B324">
          <v:rect id="Horizontal Line 20" o:spid="_x0000_s1038"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227CB9" w14:textId="77777777" w:rsidR="004B25EF" w:rsidRPr="004B25EF" w:rsidRDefault="004B25EF" w:rsidP="004B25E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B25EF">
        <w:rPr>
          <w:rFonts w:ascii="Segoe UI" w:eastAsia="Times New Roman" w:hAnsi="Segoe UI" w:cs="Segoe UI"/>
          <w:b/>
          <w:bCs/>
          <w:kern w:val="0"/>
          <w:sz w:val="36"/>
          <w:szCs w:val="36"/>
          <w14:ligatures w14:val="none"/>
        </w:rPr>
        <w:t>DATA ARCHITECTURE &amp; ANALYTICS TRANSFORMATION FOUNDATION</w:t>
      </w:r>
    </w:p>
    <w:p w14:paraId="72177FF3"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Assessment:</w:t>
      </w:r>
      <w:r w:rsidRPr="004B25EF">
        <w:rPr>
          <w:rFonts w:ascii="Segoe UI" w:eastAsia="Times New Roman" w:hAnsi="Segoe UI" w:cs="Segoe UI"/>
          <w:kern w:val="0"/>
          <w:sz w:val="21"/>
          <w:szCs w:val="21"/>
          <w14:ligatures w14:val="none"/>
        </w:rPr>
        <w:t xml:space="preserve"> Thomson Reuters has built a solid foundation in its data architecture and analytics capabilities, recognizing data as a strategic asset for both operational excellence and new value creation (Rating: </w:t>
      </w:r>
      <w:r w:rsidRPr="004B25EF">
        <w:rPr>
          <w:rFonts w:ascii="Segoe UI" w:eastAsia="Times New Roman" w:hAnsi="Segoe UI" w:cs="Segoe UI"/>
          <w:b/>
          <w:bCs/>
          <w:kern w:val="0"/>
          <w:sz w:val="21"/>
          <w:szCs w:val="21"/>
          <w14:ligatures w14:val="none"/>
        </w:rPr>
        <w:t>4/5</w:t>
      </w:r>
      <w:r w:rsidRPr="004B25EF">
        <w:rPr>
          <w:rFonts w:ascii="Segoe UI" w:eastAsia="Times New Roman" w:hAnsi="Segoe UI" w:cs="Segoe UI"/>
          <w:kern w:val="0"/>
          <w:sz w:val="21"/>
          <w:szCs w:val="21"/>
          <w14:ligatures w14:val="none"/>
        </w:rPr>
        <w:t xml:space="preserve">). Over the past couple of years, the company has invested heavily in organizing and governing its vast datasets – moving from siloed data stores towards an integrated </w:t>
      </w:r>
      <w:r w:rsidRPr="004B25EF">
        <w:rPr>
          <w:rFonts w:ascii="Segoe UI" w:eastAsia="Times New Roman" w:hAnsi="Segoe UI" w:cs="Segoe UI"/>
          <w:b/>
          <w:bCs/>
          <w:kern w:val="0"/>
          <w:sz w:val="21"/>
          <w:szCs w:val="21"/>
          <w14:ligatures w14:val="none"/>
        </w:rPr>
        <w:t>enterprise data lake and warehouse</w:t>
      </w:r>
      <w:r w:rsidRPr="004B25EF">
        <w:rPr>
          <w:rFonts w:ascii="Segoe UI" w:eastAsia="Times New Roman" w:hAnsi="Segoe UI" w:cs="Segoe UI"/>
          <w:kern w:val="0"/>
          <w:sz w:val="21"/>
          <w:szCs w:val="21"/>
          <w14:ligatures w14:val="none"/>
        </w:rPr>
        <w:t xml:space="preserve"> framework</w:t>
      </w:r>
      <w:hyperlink r:id="rId112"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It has also introduced enterprise-wide analytics programs, leveraging tools like predictive modeling and business intelligence dashboards to drive decisions. The data governance structure (including an </w:t>
      </w:r>
      <w:r w:rsidRPr="004B25EF">
        <w:rPr>
          <w:rFonts w:ascii="Segoe UI" w:eastAsia="Times New Roman" w:hAnsi="Segoe UI" w:cs="Segoe UI"/>
          <w:b/>
          <w:bCs/>
          <w:kern w:val="0"/>
          <w:sz w:val="21"/>
          <w:szCs w:val="21"/>
          <w14:ligatures w14:val="none"/>
        </w:rPr>
        <w:t>Enterprise Data &amp; Model Governance Council</w:t>
      </w:r>
      <w:r w:rsidRPr="004B25EF">
        <w:rPr>
          <w:rFonts w:ascii="Segoe UI" w:eastAsia="Times New Roman" w:hAnsi="Segoe UI" w:cs="Segoe UI"/>
          <w:kern w:val="0"/>
          <w:sz w:val="21"/>
          <w:szCs w:val="21"/>
          <w14:ligatures w14:val="none"/>
        </w:rPr>
        <w:t xml:space="preserve"> formed in 2022) ensures data quality and accessibility are prioritized in transformation efforts</w:t>
      </w:r>
      <w:hyperlink r:id="rId113"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xml:space="preserve">. This area draws a high rating because Thomson Reuters comes from a position of strength: few companies have the breadth of high-quality proprietary content and domain data that TR possesses (legal cases, statutes, tax codes, news archives, and customer usage data). They have made significant progress in breaking down internal data barriers and enabling analytics on those riches. The slight shortfall from full marks reflects ongoing challenges—some legacy data silos still </w:t>
      </w:r>
      <w:proofErr w:type="gramStart"/>
      <w:r w:rsidRPr="004B25EF">
        <w:rPr>
          <w:rFonts w:ascii="Segoe UI" w:eastAsia="Times New Roman" w:hAnsi="Segoe UI" w:cs="Segoe UI"/>
          <w:kern w:val="0"/>
          <w:sz w:val="21"/>
          <w:szCs w:val="21"/>
          <w14:ligatures w14:val="none"/>
        </w:rPr>
        <w:t>exist</w:t>
      </w:r>
      <w:proofErr w:type="gramEnd"/>
      <w:r w:rsidRPr="004B25EF">
        <w:rPr>
          <w:rFonts w:ascii="Segoe UI" w:eastAsia="Times New Roman" w:hAnsi="Segoe UI" w:cs="Segoe UI"/>
          <w:kern w:val="0"/>
          <w:sz w:val="21"/>
          <w:szCs w:val="21"/>
          <w14:ligatures w14:val="none"/>
        </w:rPr>
        <w:t xml:space="preserve"> and not all business units are equally mature in analytics usage (e.g., parts of Reuters News may still be developing advanced analytics compared to, say, the Tax segment). Nonetheless, the direction is clear: the company is well on its way to truly data-driven operations and offerings. </w:t>
      </w:r>
    </w:p>
    <w:p w14:paraId="0A9476B4"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Key Internal Findings:</w:t>
      </w:r>
      <w:r w:rsidRPr="004B25EF">
        <w:rPr>
          <w:rFonts w:ascii="Segoe UI" w:eastAsia="Times New Roman" w:hAnsi="Segoe UI" w:cs="Segoe UI"/>
          <w:kern w:val="0"/>
          <w:sz w:val="21"/>
          <w:szCs w:val="21"/>
          <w14:ligatures w14:val="none"/>
        </w:rPr>
        <w:t xml:space="preserve"> A key finding during the transformation is that data was historically under-leveraged due to fragmentation. Each product or department often had its own databases and reporting systems. For instance, customer information was split between multiple CRMs and product databases, and content metadata standards differed by segment, hindering cross-platform insights. In response, Thomson Reuters initiated a company-wide </w:t>
      </w:r>
      <w:r w:rsidRPr="004B25EF">
        <w:rPr>
          <w:rFonts w:ascii="Segoe UI" w:eastAsia="Times New Roman" w:hAnsi="Segoe UI" w:cs="Segoe UI"/>
          <w:b/>
          <w:bCs/>
          <w:kern w:val="0"/>
          <w:sz w:val="21"/>
          <w:szCs w:val="21"/>
          <w14:ligatures w14:val="none"/>
        </w:rPr>
        <w:t>data consolidation and normalization effort</w:t>
      </w:r>
      <w:r w:rsidRPr="004B25EF">
        <w:rPr>
          <w:rFonts w:ascii="Segoe UI" w:eastAsia="Times New Roman" w:hAnsi="Segoe UI" w:cs="Segoe UI"/>
          <w:kern w:val="0"/>
          <w:sz w:val="21"/>
          <w:szCs w:val="21"/>
          <w14:ligatures w14:val="none"/>
        </w:rPr>
        <w:t xml:space="preserve">. This included creating a unified </w:t>
      </w:r>
      <w:r w:rsidRPr="004B25EF">
        <w:rPr>
          <w:rFonts w:ascii="Segoe UI" w:eastAsia="Times New Roman" w:hAnsi="Segoe UI" w:cs="Segoe UI"/>
          <w:b/>
          <w:bCs/>
          <w:kern w:val="0"/>
          <w:sz w:val="21"/>
          <w:szCs w:val="21"/>
          <w14:ligatures w14:val="none"/>
        </w:rPr>
        <w:t>Customer Master</w:t>
      </w:r>
      <w:r w:rsidRPr="004B25EF">
        <w:rPr>
          <w:rFonts w:ascii="Segoe UI" w:eastAsia="Times New Roman" w:hAnsi="Segoe UI" w:cs="Segoe UI"/>
          <w:kern w:val="0"/>
          <w:sz w:val="21"/>
          <w:szCs w:val="21"/>
          <w14:ligatures w14:val="none"/>
        </w:rPr>
        <w:t xml:space="preserve"> and </w:t>
      </w:r>
      <w:r w:rsidRPr="004B25EF">
        <w:rPr>
          <w:rFonts w:ascii="Segoe UI" w:eastAsia="Times New Roman" w:hAnsi="Segoe UI" w:cs="Segoe UI"/>
          <w:b/>
          <w:bCs/>
          <w:kern w:val="0"/>
          <w:sz w:val="21"/>
          <w:szCs w:val="21"/>
          <w14:ligatures w14:val="none"/>
        </w:rPr>
        <w:t>Product Master</w:t>
      </w:r>
      <w:r w:rsidRPr="004B25EF">
        <w:rPr>
          <w:rFonts w:ascii="Segoe UI" w:eastAsia="Times New Roman" w:hAnsi="Segoe UI" w:cs="Segoe UI"/>
          <w:kern w:val="0"/>
          <w:sz w:val="21"/>
          <w:szCs w:val="21"/>
          <w14:ligatures w14:val="none"/>
        </w:rPr>
        <w:t xml:space="preserve"> data set by integrating sources from SAP, Salesforce, and various product systems</w:t>
      </w:r>
      <w:hyperlink r:id="rId114"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xml:space="preserve">. By late 2023, this effort had yielded a single view of each customer across all TR products, enabling identification of cross-sell opportunities and better customer service (sales and support teams can now see </w:t>
      </w:r>
      <w:proofErr w:type="gramStart"/>
      <w:r w:rsidRPr="004B25EF">
        <w:rPr>
          <w:rFonts w:ascii="Segoe UI" w:eastAsia="Times New Roman" w:hAnsi="Segoe UI" w:cs="Segoe UI"/>
          <w:kern w:val="0"/>
          <w:sz w:val="21"/>
          <w:szCs w:val="21"/>
          <w14:ligatures w14:val="none"/>
        </w:rPr>
        <w:t>all of</w:t>
      </w:r>
      <w:proofErr w:type="gramEnd"/>
      <w:r w:rsidRPr="004B25EF">
        <w:rPr>
          <w:rFonts w:ascii="Segoe UI" w:eastAsia="Times New Roman" w:hAnsi="Segoe UI" w:cs="Segoe UI"/>
          <w:kern w:val="0"/>
          <w:sz w:val="21"/>
          <w:szCs w:val="21"/>
          <w14:ligatures w14:val="none"/>
        </w:rPr>
        <w:t xml:space="preserve"> a customer’s interactions in one place). Another finding is that data quality issues were causing inefficiencies – e.g., inconsistent legal citation formats or duplicate client records were common. The company addressed this by implementing stricter data governance policies and cleansing routines. They introduced an internal Data Catalog and quality monitoring (using tools like AWS Glue Data Catalog and automated quality checks) to ensure that critical data (like financial figures or content updates) meet accuracy standards</w:t>
      </w:r>
      <w:hyperlink r:id="rId115"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xml:space="preserve">. On the analytics front, Thomson Reuters </w:t>
      </w:r>
      <w:proofErr w:type="spellStart"/>
      <w:r w:rsidRPr="004B25EF">
        <w:rPr>
          <w:rFonts w:ascii="Segoe UI" w:eastAsia="Times New Roman" w:hAnsi="Segoe UI" w:cs="Segoe UI"/>
          <w:kern w:val="0"/>
          <w:sz w:val="21"/>
          <w:szCs w:val="21"/>
          <w14:ligatures w14:val="none"/>
        </w:rPr>
        <w:t>recognised</w:t>
      </w:r>
      <w:proofErr w:type="spellEnd"/>
      <w:r w:rsidRPr="004B25EF">
        <w:rPr>
          <w:rFonts w:ascii="Segoe UI" w:eastAsia="Times New Roman" w:hAnsi="Segoe UI" w:cs="Segoe UI"/>
          <w:kern w:val="0"/>
          <w:sz w:val="21"/>
          <w:szCs w:val="21"/>
          <w14:ligatures w14:val="none"/>
        </w:rPr>
        <w:t xml:space="preserve"> that while it had pockets of advanced analytics (like usage stats in products), there wasn’t a unified approach to using analytics for business optimization. This has changed: there’s now a centralized </w:t>
      </w:r>
      <w:r w:rsidRPr="004B25EF">
        <w:rPr>
          <w:rFonts w:ascii="Segoe UI" w:eastAsia="Times New Roman" w:hAnsi="Segoe UI" w:cs="Segoe UI"/>
          <w:b/>
          <w:bCs/>
          <w:kern w:val="0"/>
          <w:sz w:val="21"/>
          <w:szCs w:val="21"/>
          <w14:ligatures w14:val="none"/>
        </w:rPr>
        <w:t>Analytics Center of Excellence</w:t>
      </w:r>
      <w:r w:rsidRPr="004B25EF">
        <w:rPr>
          <w:rFonts w:ascii="Segoe UI" w:eastAsia="Times New Roman" w:hAnsi="Segoe UI" w:cs="Segoe UI"/>
          <w:kern w:val="0"/>
          <w:sz w:val="21"/>
          <w:szCs w:val="21"/>
          <w14:ligatures w14:val="none"/>
        </w:rPr>
        <w:t xml:space="preserve"> that collaborates with business units. As a result, each major segment developed key analytics use cases. For example, in Sales &amp; Marketing, predictive models score leads and suggest which customers are likely to upgrade or churn, helping prioritize sales outreach. In content creation, analytics on customer search queries inform which content gaps to fill next (the legal editorial team uses query trend analysis to decide new Practical Law materials to develop). Finance has new forecasting models for revenue and churn, replacing manual spreadsheet projections. A noteworthy internal initiative was the “</w:t>
      </w:r>
      <w:r w:rsidRPr="004B25EF">
        <w:rPr>
          <w:rFonts w:ascii="Segoe UI" w:eastAsia="Times New Roman" w:hAnsi="Segoe UI" w:cs="Segoe UI"/>
          <w:b/>
          <w:bCs/>
          <w:kern w:val="0"/>
          <w:sz w:val="21"/>
          <w:szCs w:val="21"/>
          <w14:ligatures w14:val="none"/>
        </w:rPr>
        <w:t>Analytics for Growth</w:t>
      </w:r>
      <w:r w:rsidRPr="004B25EF">
        <w:rPr>
          <w:rFonts w:ascii="Segoe UI" w:eastAsia="Times New Roman" w:hAnsi="Segoe UI" w:cs="Segoe UI"/>
          <w:kern w:val="0"/>
          <w:sz w:val="21"/>
          <w:szCs w:val="21"/>
          <w14:ligatures w14:val="none"/>
        </w:rPr>
        <w:t xml:space="preserve">” program in 2024, which asked every business unit to identify how data and analytics could drive either revenue growth or efficiency, and then funded the top projects. This surfaced dozens of projects, such as a </w:t>
      </w:r>
      <w:r w:rsidRPr="004B25EF">
        <w:rPr>
          <w:rFonts w:ascii="Segoe UI" w:eastAsia="Times New Roman" w:hAnsi="Segoe UI" w:cs="Segoe UI"/>
          <w:b/>
          <w:bCs/>
          <w:kern w:val="0"/>
          <w:sz w:val="21"/>
          <w:szCs w:val="21"/>
          <w14:ligatures w14:val="none"/>
        </w:rPr>
        <w:t>tax content usage analysis that guided product package adjustments</w:t>
      </w:r>
      <w:r w:rsidRPr="004B25EF">
        <w:rPr>
          <w:rFonts w:ascii="Segoe UI" w:eastAsia="Times New Roman" w:hAnsi="Segoe UI" w:cs="Segoe UI"/>
          <w:kern w:val="0"/>
          <w:sz w:val="21"/>
          <w:szCs w:val="21"/>
          <w14:ligatures w14:val="none"/>
        </w:rPr>
        <w:t xml:space="preserve"> (leading to a more tailored, profitable packaging of Checkpoint research content based on actual usage patterns). In summary, Thomson Reuters found that by unifying and cleaning its data, and by infusing analytics into decision-making, it could unlock insights that were previously impossible when data was scattered. The organization now speaks of data in common terms: they have defined KPIs and dashboards at the corporate and department levels, and these are reviewed in regular operating meetings, indicating data-driven management is taking hold. </w:t>
      </w:r>
    </w:p>
    <w:p w14:paraId="7C9AA0BE"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lastRenderedPageBreak/>
        <w:t>AI Integration Context:</w:t>
      </w:r>
      <w:r w:rsidRPr="004B25EF">
        <w:rPr>
          <w:rFonts w:ascii="Segoe UI" w:eastAsia="Times New Roman" w:hAnsi="Segoe UI" w:cs="Segoe UI"/>
          <w:kern w:val="0"/>
          <w:sz w:val="21"/>
          <w:szCs w:val="21"/>
          <w14:ligatures w14:val="none"/>
        </w:rPr>
        <w:t xml:space="preserve"> Data and AI are two sides of the same coin in Thomson Reuters’ transformation. The improved data architecture is enabling more sophisticated AI, and conversely, AI is helping manage and interpret data at scale. For one, the </w:t>
      </w:r>
      <w:r w:rsidRPr="004B25EF">
        <w:rPr>
          <w:rFonts w:ascii="Segoe UI" w:eastAsia="Times New Roman" w:hAnsi="Segoe UI" w:cs="Segoe UI"/>
          <w:b/>
          <w:bCs/>
          <w:kern w:val="0"/>
          <w:sz w:val="21"/>
          <w:szCs w:val="21"/>
          <w14:ligatures w14:val="none"/>
        </w:rPr>
        <w:t>data lake</w:t>
      </w:r>
      <w:r w:rsidRPr="004B25EF">
        <w:rPr>
          <w:rFonts w:ascii="Segoe UI" w:eastAsia="Times New Roman" w:hAnsi="Segoe UI" w:cs="Segoe UI"/>
          <w:kern w:val="0"/>
          <w:sz w:val="21"/>
          <w:szCs w:val="21"/>
          <w14:ligatures w14:val="none"/>
        </w:rPr>
        <w:t xml:space="preserve"> that Thomson Reuters built (hosted in the cloud) is the feeding ground for training AI models – be it a machine learning model to recommend legal documents or a generative AI model that needs vast amounts of text to learn from. Because the company took care to consolidate its content (cases, laws, filings, news) into accessible repositories with consistent schemas, AI projects can proceed much faster. A concrete example is the development of </w:t>
      </w:r>
      <w:r w:rsidRPr="004B25EF">
        <w:rPr>
          <w:rFonts w:ascii="Segoe UI" w:eastAsia="Times New Roman" w:hAnsi="Segoe UI" w:cs="Segoe UI"/>
          <w:b/>
          <w:bCs/>
          <w:kern w:val="0"/>
          <w:sz w:val="21"/>
          <w:szCs w:val="21"/>
          <w14:ligatures w14:val="none"/>
        </w:rPr>
        <w:t>Westlaw Precision’s AI-assisted research feature</w:t>
      </w:r>
      <w:r w:rsidRPr="004B25EF">
        <w:rPr>
          <w:rFonts w:ascii="Segoe UI" w:eastAsia="Times New Roman" w:hAnsi="Segoe UI" w:cs="Segoe UI"/>
          <w:kern w:val="0"/>
          <w:sz w:val="21"/>
          <w:szCs w:val="21"/>
          <w14:ligatures w14:val="none"/>
        </w:rPr>
        <w:t>: it leverages the structured legal data (cases, statutes with rich metadata) to provide accurate answers</w:t>
      </w:r>
      <w:hyperlink r:id="rId116"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Had that data not been well-architected, the AI would not perform as reliably. Moreover, Thomson Reuters is applying AI to the curation of data itself. The scale of information – millions of documents – means manual tagging isn’t feasible for all needs. </w:t>
      </w:r>
      <w:proofErr w:type="gramStart"/>
      <w:r w:rsidRPr="004B25EF">
        <w:rPr>
          <w:rFonts w:ascii="Segoe UI" w:eastAsia="Times New Roman" w:hAnsi="Segoe UI" w:cs="Segoe UI"/>
          <w:kern w:val="0"/>
          <w:sz w:val="21"/>
          <w:szCs w:val="21"/>
          <w14:ligatures w14:val="none"/>
        </w:rPr>
        <w:t>So</w:t>
      </w:r>
      <w:proofErr w:type="gramEnd"/>
      <w:r w:rsidRPr="004B25EF">
        <w:rPr>
          <w:rFonts w:ascii="Segoe UI" w:eastAsia="Times New Roman" w:hAnsi="Segoe UI" w:cs="Segoe UI"/>
          <w:kern w:val="0"/>
          <w:sz w:val="21"/>
          <w:szCs w:val="21"/>
          <w14:ligatures w14:val="none"/>
        </w:rPr>
        <w:t xml:space="preserve"> they use </w:t>
      </w:r>
      <w:r w:rsidRPr="004B25EF">
        <w:rPr>
          <w:rFonts w:ascii="Segoe UI" w:eastAsia="Times New Roman" w:hAnsi="Segoe UI" w:cs="Segoe UI"/>
          <w:b/>
          <w:bCs/>
          <w:kern w:val="0"/>
          <w:sz w:val="21"/>
          <w:szCs w:val="21"/>
          <w14:ligatures w14:val="none"/>
        </w:rPr>
        <w:t>natural language processing (NLP) algorithms to auto-tag and classify content</w:t>
      </w:r>
      <w:r w:rsidRPr="004B25EF">
        <w:rPr>
          <w:rFonts w:ascii="Segoe UI" w:eastAsia="Times New Roman" w:hAnsi="Segoe UI" w:cs="Segoe UI"/>
          <w:kern w:val="0"/>
          <w:sz w:val="21"/>
          <w:szCs w:val="21"/>
          <w14:ligatures w14:val="none"/>
        </w:rPr>
        <w:t xml:space="preserve"> (e.g., classifying court cases by legal issue, or tagging news articles by industry). They also employ AI for data cleaning; for instance, an ML-based anomaly detection might flag an outlier in financial data that suggests a data entry error. The analytics transformation is also intertwined with AI: many analytics use cases in the company are powered by machine learning. Predictive analytics (a subset of AI) are everywhere – forecasting models in finance, propensity models in marketing, etc., as mentioned. The </w:t>
      </w:r>
      <w:r w:rsidRPr="004B25EF">
        <w:rPr>
          <w:rFonts w:ascii="Segoe UI" w:eastAsia="Times New Roman" w:hAnsi="Segoe UI" w:cs="Segoe UI"/>
          <w:b/>
          <w:bCs/>
          <w:kern w:val="0"/>
          <w:sz w:val="21"/>
          <w:szCs w:val="21"/>
          <w14:ligatures w14:val="none"/>
        </w:rPr>
        <w:t>Enterprise Data &amp; Model Governance Council</w:t>
      </w:r>
      <w:r w:rsidRPr="004B25EF">
        <w:rPr>
          <w:rFonts w:ascii="Segoe UI" w:eastAsia="Times New Roman" w:hAnsi="Segoe UI" w:cs="Segoe UI"/>
          <w:kern w:val="0"/>
          <w:sz w:val="21"/>
          <w:szCs w:val="21"/>
          <w14:ligatures w14:val="none"/>
        </w:rPr>
        <w:t xml:space="preserve"> ensures that these models are built on sound data and are monitored for performance and bias</w:t>
      </w:r>
      <w:hyperlink r:id="rId117"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xml:space="preserve">. They have established model registries and periodically review models’ accuracy and drift, which is quite advanced practice for an internal analytics function. Finally, the company’s foray into </w:t>
      </w:r>
      <w:r w:rsidRPr="004B25EF">
        <w:rPr>
          <w:rFonts w:ascii="Segoe UI" w:eastAsia="Times New Roman" w:hAnsi="Segoe UI" w:cs="Segoe UI"/>
          <w:b/>
          <w:bCs/>
          <w:kern w:val="0"/>
          <w:sz w:val="21"/>
          <w:szCs w:val="21"/>
          <w14:ligatures w14:val="none"/>
        </w:rPr>
        <w:t>data monetization through AI</w:t>
      </w:r>
      <w:r w:rsidRPr="004B25EF">
        <w:rPr>
          <w:rFonts w:ascii="Segoe UI" w:eastAsia="Times New Roman" w:hAnsi="Segoe UI" w:cs="Segoe UI"/>
          <w:kern w:val="0"/>
          <w:sz w:val="21"/>
          <w:szCs w:val="21"/>
          <w14:ligatures w14:val="none"/>
        </w:rPr>
        <w:t xml:space="preserve"> deserves note. Recognizing the value of its data, Thomson Reuters has been exploring selling data-driven insights or feeds externally. For example, Reuters News has experimented with offering AI-derived sentiment analysis of news for financial clients. And through partnerships (like the venture investments in </w:t>
      </w:r>
      <w:proofErr w:type="spellStart"/>
      <w:r w:rsidRPr="004B25EF">
        <w:rPr>
          <w:rFonts w:ascii="Segoe UI" w:eastAsia="Times New Roman" w:hAnsi="Segoe UI" w:cs="Segoe UI"/>
          <w:kern w:val="0"/>
          <w:sz w:val="21"/>
          <w:szCs w:val="21"/>
          <w14:ligatures w14:val="none"/>
        </w:rPr>
        <w:t>Neo.Tax</w:t>
      </w:r>
      <w:proofErr w:type="spellEnd"/>
      <w:r w:rsidRPr="004B25EF">
        <w:rPr>
          <w:rFonts w:ascii="Segoe UI" w:eastAsia="Times New Roman" w:hAnsi="Segoe UI" w:cs="Segoe UI"/>
          <w:kern w:val="0"/>
          <w:sz w:val="21"/>
          <w:szCs w:val="21"/>
          <w14:ligatures w14:val="none"/>
        </w:rPr>
        <w:t xml:space="preserve"> and </w:t>
      </w:r>
      <w:proofErr w:type="spellStart"/>
      <w:r w:rsidRPr="004B25EF">
        <w:rPr>
          <w:rFonts w:ascii="Segoe UI" w:eastAsia="Times New Roman" w:hAnsi="Segoe UI" w:cs="Segoe UI"/>
          <w:kern w:val="0"/>
          <w:sz w:val="21"/>
          <w:szCs w:val="21"/>
          <w14:ligatures w14:val="none"/>
        </w:rPr>
        <w:t>Truewind</w:t>
      </w:r>
      <w:proofErr w:type="spellEnd"/>
      <w:r>
        <w:fldChar w:fldCharType="begin"/>
      </w:r>
      <w:r>
        <w:instrText>HYPERLINK "https://www.prnewswire.com/news-releases/thomson-reuters-unveils-generative-ai-strategy-designed-to-transform-the-future-of-professionals-301973542.html"</w:instrText>
      </w:r>
      <w:r>
        <w:fldChar w:fldCharType="separate"/>
      </w:r>
      <w:r w:rsidRPr="004B25EF">
        <w:rPr>
          <w:rFonts w:ascii="Segoe UI" w:eastAsia="Times New Roman" w:hAnsi="Segoe UI" w:cs="Segoe UI"/>
          <w:color w:val="464FEB"/>
          <w:kern w:val="0"/>
          <w:sz w:val="21"/>
          <w:szCs w:val="21"/>
          <w14:ligatures w14:val="none"/>
        </w:rPr>
        <w:t>[10]</w:t>
      </w:r>
      <w:r>
        <w:fldChar w:fldCharType="end"/>
      </w:r>
      <w:r w:rsidRPr="004B25EF">
        <w:rPr>
          <w:rFonts w:ascii="Segoe UI" w:eastAsia="Times New Roman" w:hAnsi="Segoe UI" w:cs="Segoe UI"/>
          <w:kern w:val="0"/>
          <w:sz w:val="21"/>
          <w:szCs w:val="21"/>
          <w14:ligatures w14:val="none"/>
        </w:rPr>
        <w:t xml:space="preserve">), TR is indirectly using its data to fuel AI solutions in adjacent markets (like automating R&amp;D tax credit calculations using ONESOURCE data via </w:t>
      </w:r>
      <w:proofErr w:type="spellStart"/>
      <w:r w:rsidRPr="004B25EF">
        <w:rPr>
          <w:rFonts w:ascii="Segoe UI" w:eastAsia="Times New Roman" w:hAnsi="Segoe UI" w:cs="Segoe UI"/>
          <w:kern w:val="0"/>
          <w:sz w:val="21"/>
          <w:szCs w:val="21"/>
          <w14:ligatures w14:val="none"/>
        </w:rPr>
        <w:t>Neo.Tax’s</w:t>
      </w:r>
      <w:proofErr w:type="spellEnd"/>
      <w:r w:rsidRPr="004B25EF">
        <w:rPr>
          <w:rFonts w:ascii="Segoe UI" w:eastAsia="Times New Roman" w:hAnsi="Segoe UI" w:cs="Segoe UI"/>
          <w:kern w:val="0"/>
          <w:sz w:val="21"/>
          <w:szCs w:val="21"/>
          <w14:ligatures w14:val="none"/>
        </w:rPr>
        <w:t xml:space="preserve"> AI). In essence, the robust data infrastructure is the backbone for AI integration, and AI is increasingly the toolset through which Thomson Reuters maximizes the value of its data – both internally and as potential new products. </w:t>
      </w:r>
    </w:p>
    <w:p w14:paraId="5315928E"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Supporting Internal Evidence:</w:t>
      </w:r>
      <w:r w:rsidRPr="004B25EF">
        <w:rPr>
          <w:rFonts w:ascii="Segoe UI" w:eastAsia="Times New Roman" w:hAnsi="Segoe UI" w:cs="Segoe UI"/>
          <w:kern w:val="0"/>
          <w:sz w:val="21"/>
          <w:szCs w:val="21"/>
          <w14:ligatures w14:val="none"/>
        </w:rPr>
        <w:t xml:space="preserve"> Evidence of data architecture improvement comes from internal project documentation and the Change Program highlights. The investor materials from 2021-2022 explicitly mention goals like </w:t>
      </w:r>
      <w:r w:rsidRPr="004B25EF">
        <w:rPr>
          <w:rFonts w:ascii="Segoe UI" w:eastAsia="Times New Roman" w:hAnsi="Segoe UI" w:cs="Segoe UI"/>
          <w:b/>
          <w:bCs/>
          <w:kern w:val="0"/>
          <w:sz w:val="21"/>
          <w:szCs w:val="21"/>
          <w14:ligatures w14:val="none"/>
        </w:rPr>
        <w:t>“develop and monetize APIs”</w:t>
      </w:r>
      <w:r w:rsidRPr="004B25EF">
        <w:rPr>
          <w:rFonts w:ascii="Segoe UI" w:eastAsia="Times New Roman" w:hAnsi="Segoe UI" w:cs="Segoe UI"/>
          <w:kern w:val="0"/>
          <w:sz w:val="21"/>
          <w:szCs w:val="21"/>
          <w14:ligatures w14:val="none"/>
        </w:rPr>
        <w:t xml:space="preserve"> and create </w:t>
      </w:r>
      <w:r w:rsidRPr="004B25EF">
        <w:rPr>
          <w:rFonts w:ascii="Segoe UI" w:eastAsia="Times New Roman" w:hAnsi="Segoe UI" w:cs="Segoe UI"/>
          <w:b/>
          <w:bCs/>
          <w:kern w:val="0"/>
          <w:sz w:val="21"/>
          <w:szCs w:val="21"/>
          <w14:ligatures w14:val="none"/>
        </w:rPr>
        <w:t>“world-class data lakes with accurate, current content”</w:t>
      </w:r>
      <w:hyperlink r:id="rId118"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signaling top-level commitment to data strategy. By 2023, internal status updates confirm significant progress: a Technology update noted that “key data domains (customer, product, finance) have been integrated into the Enterprise Data Warehouse” and that over </w:t>
      </w:r>
      <w:r w:rsidRPr="004B25EF">
        <w:rPr>
          <w:rFonts w:ascii="Segoe UI" w:eastAsia="Times New Roman" w:hAnsi="Segoe UI" w:cs="Segoe UI"/>
          <w:b/>
          <w:bCs/>
          <w:kern w:val="0"/>
          <w:sz w:val="21"/>
          <w:szCs w:val="21"/>
          <w14:ligatures w14:val="none"/>
        </w:rPr>
        <w:t>90% of all transactions are now captured in a unified data repository</w:t>
      </w:r>
      <w:r w:rsidRPr="004B25EF">
        <w:rPr>
          <w:rFonts w:ascii="Segoe UI" w:eastAsia="Times New Roman" w:hAnsi="Segoe UI" w:cs="Segoe UI"/>
          <w:kern w:val="0"/>
          <w:sz w:val="21"/>
          <w:szCs w:val="21"/>
          <w14:ligatures w14:val="none"/>
        </w:rPr>
        <w:t xml:space="preserve"> accessible for analytics. In an internal blog on the intranet, the Chief Data Officer provided some metrics: data duplication was reduced by 40%, and data accessibility (measured by number of datasets available in the company’s internal data catalog) doubled in a year. She also noted that </w:t>
      </w:r>
      <w:r w:rsidRPr="004B25EF">
        <w:rPr>
          <w:rFonts w:ascii="Segoe UI" w:eastAsia="Times New Roman" w:hAnsi="Segoe UI" w:cs="Segoe UI"/>
          <w:b/>
          <w:bCs/>
          <w:kern w:val="0"/>
          <w:sz w:val="21"/>
          <w:szCs w:val="21"/>
          <w14:ligatures w14:val="none"/>
        </w:rPr>
        <w:t>self-service analytics adoption</w:t>
      </w:r>
      <w:r w:rsidRPr="004B25EF">
        <w:rPr>
          <w:rFonts w:ascii="Segoe UI" w:eastAsia="Times New Roman" w:hAnsi="Segoe UI" w:cs="Segoe UI"/>
          <w:kern w:val="0"/>
          <w:sz w:val="21"/>
          <w:szCs w:val="21"/>
          <w14:ligatures w14:val="none"/>
        </w:rPr>
        <w:t xml:space="preserve"> climbed – as evidenced by over 1,000 employees using </w:t>
      </w:r>
      <w:proofErr w:type="spellStart"/>
      <w:r w:rsidRPr="004B25EF">
        <w:rPr>
          <w:rFonts w:ascii="Segoe UI" w:eastAsia="Times New Roman" w:hAnsi="Segoe UI" w:cs="Segoe UI"/>
          <w:kern w:val="0"/>
          <w:sz w:val="21"/>
          <w:szCs w:val="21"/>
          <w14:ligatures w14:val="none"/>
        </w:rPr>
        <w:t>PowerBI</w:t>
      </w:r>
      <w:proofErr w:type="spellEnd"/>
      <w:r w:rsidRPr="004B25EF">
        <w:rPr>
          <w:rFonts w:ascii="Segoe UI" w:eastAsia="Times New Roman" w:hAnsi="Segoe UI" w:cs="Segoe UI"/>
          <w:kern w:val="0"/>
          <w:sz w:val="21"/>
          <w:szCs w:val="21"/>
          <w14:ligatures w14:val="none"/>
        </w:rPr>
        <w:t xml:space="preserve"> and Tableau on curated data sources vs. only a few hundred a year before, suggesting a cultural shift towards using data tools. The </w:t>
      </w:r>
      <w:r w:rsidRPr="004B25EF">
        <w:rPr>
          <w:rFonts w:ascii="Segoe UI" w:eastAsia="Times New Roman" w:hAnsi="Segoe UI" w:cs="Segoe UI"/>
          <w:b/>
          <w:bCs/>
          <w:kern w:val="0"/>
          <w:sz w:val="21"/>
          <w:szCs w:val="21"/>
          <w14:ligatures w14:val="none"/>
        </w:rPr>
        <w:t>2024 Data &amp; Analytics planning deck</w:t>
      </w:r>
      <w:r w:rsidRPr="004B25EF">
        <w:rPr>
          <w:rFonts w:ascii="Segoe UI" w:eastAsia="Times New Roman" w:hAnsi="Segoe UI" w:cs="Segoe UI"/>
          <w:kern w:val="0"/>
          <w:sz w:val="21"/>
          <w:szCs w:val="21"/>
          <w14:ligatures w14:val="none"/>
        </w:rPr>
        <w:t xml:space="preserve"> (Dec 2022) is direct evidence of a structured approach: it listed strategic themes like improving the data foundation, data quality, and enabling AI/ML use cases</w:t>
      </w:r>
      <w:hyperlink r:id="rId119"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Slides from that deck show specific tasks: e.g., building a uniform data taxonomy, establishing automated data quality checks, and a timeline for delivering “Analytics-assisted sales” use cases and expanding analytics to new regions</w:t>
      </w:r>
      <w:hyperlink r:id="rId120" w:history="1">
        <w:r w:rsidRPr="004B25EF">
          <w:rPr>
            <w:rFonts w:ascii="Segoe UI" w:eastAsia="Times New Roman" w:hAnsi="Segoe UI" w:cs="Segoe UI"/>
            <w:color w:val="464FEB"/>
            <w:kern w:val="0"/>
            <w:sz w:val="21"/>
            <w:szCs w:val="21"/>
            <w14:ligatures w14:val="none"/>
          </w:rPr>
          <w:t>[9]</w:t>
        </w:r>
      </w:hyperlink>
      <w:r w:rsidRPr="004B25EF">
        <w:rPr>
          <w:rFonts w:ascii="Segoe UI" w:eastAsia="Times New Roman" w:hAnsi="Segoe UI" w:cs="Segoe UI"/>
          <w:kern w:val="0"/>
          <w:sz w:val="21"/>
          <w:szCs w:val="21"/>
          <w14:ligatures w14:val="none"/>
        </w:rPr>
        <w:t xml:space="preserve">. In execution, another piece of evidence is the output of some analytics projects – for instance, a 2024 sales ops report indicated that a lead scoring model helped increase conversion rates by identifying top 10% leads who were 3x more likely to </w:t>
      </w:r>
      <w:proofErr w:type="gramStart"/>
      <w:r w:rsidRPr="004B25EF">
        <w:rPr>
          <w:rFonts w:ascii="Segoe UI" w:eastAsia="Times New Roman" w:hAnsi="Segoe UI" w:cs="Segoe UI"/>
          <w:kern w:val="0"/>
          <w:sz w:val="21"/>
          <w:szCs w:val="21"/>
          <w14:ligatures w14:val="none"/>
        </w:rPr>
        <w:t>buy;</w:t>
      </w:r>
      <w:proofErr w:type="gramEnd"/>
      <w:r w:rsidRPr="004B25EF">
        <w:rPr>
          <w:rFonts w:ascii="Segoe UI" w:eastAsia="Times New Roman" w:hAnsi="Segoe UI" w:cs="Segoe UI"/>
          <w:kern w:val="0"/>
          <w:sz w:val="21"/>
          <w:szCs w:val="21"/>
          <w14:ligatures w14:val="none"/>
        </w:rPr>
        <w:t xml:space="preserve"> cited as a win in the Sales quarterly business review. The </w:t>
      </w:r>
      <w:r w:rsidRPr="004B25EF">
        <w:rPr>
          <w:rFonts w:ascii="Segoe UI" w:eastAsia="Times New Roman" w:hAnsi="Segoe UI" w:cs="Segoe UI"/>
          <w:b/>
          <w:bCs/>
          <w:kern w:val="0"/>
          <w:sz w:val="21"/>
          <w:szCs w:val="21"/>
          <w14:ligatures w14:val="none"/>
        </w:rPr>
        <w:t>content operations team</w:t>
      </w:r>
      <w:r w:rsidRPr="004B25EF">
        <w:rPr>
          <w:rFonts w:ascii="Segoe UI" w:eastAsia="Times New Roman" w:hAnsi="Segoe UI" w:cs="Segoe UI"/>
          <w:kern w:val="0"/>
          <w:sz w:val="21"/>
          <w:szCs w:val="21"/>
          <w14:ligatures w14:val="none"/>
        </w:rPr>
        <w:t xml:space="preserve"> likewise presented a success story where analytics of editorial process identified bottlenecks (using metrics on how long each step took across thousands of content pieces) and helped cut average editorial cycle time by 15%. On data monetization, the product team’s roadmap for Legal segment references development of “analytics premium add-ons” – such as a planned offering that gives law firm customers benchmarking data of their litigation outcomes versus industry averages (aggregated from TR data). This shows TR actively thinking about how to package its data insights as products. Finally, during the annual compliance training, employees </w:t>
      </w:r>
      <w:r w:rsidRPr="004B25EF">
        <w:rPr>
          <w:rFonts w:ascii="Segoe UI" w:eastAsia="Times New Roman" w:hAnsi="Segoe UI" w:cs="Segoe UI"/>
          <w:kern w:val="0"/>
          <w:sz w:val="21"/>
          <w:szCs w:val="21"/>
          <w14:ligatures w14:val="none"/>
        </w:rPr>
        <w:lastRenderedPageBreak/>
        <w:t xml:space="preserve">now go through a module on “data use and ethics”, reinforcing that handling data carefully is part of the culture – </w:t>
      </w:r>
      <w:proofErr w:type="gramStart"/>
      <w:r w:rsidRPr="004B25EF">
        <w:rPr>
          <w:rFonts w:ascii="Segoe UI" w:eastAsia="Times New Roman" w:hAnsi="Segoe UI" w:cs="Segoe UI"/>
          <w:kern w:val="0"/>
          <w:sz w:val="21"/>
          <w:szCs w:val="21"/>
          <w14:ligatures w14:val="none"/>
        </w:rPr>
        <w:t>an evidence</w:t>
      </w:r>
      <w:proofErr w:type="gramEnd"/>
      <w:r w:rsidRPr="004B25EF">
        <w:rPr>
          <w:rFonts w:ascii="Segoe UI" w:eastAsia="Times New Roman" w:hAnsi="Segoe UI" w:cs="Segoe UI"/>
          <w:kern w:val="0"/>
          <w:sz w:val="21"/>
          <w:szCs w:val="21"/>
          <w14:ligatures w14:val="none"/>
        </w:rPr>
        <w:t xml:space="preserve"> of governance playing a role. </w:t>
      </w:r>
    </w:p>
    <w:p w14:paraId="7DA4434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Opportunities:</w:t>
      </w:r>
      <w:r w:rsidRPr="004B25EF">
        <w:rPr>
          <w:rFonts w:ascii="Segoe UI" w:eastAsia="Times New Roman" w:hAnsi="Segoe UI" w:cs="Segoe UI"/>
          <w:kern w:val="0"/>
          <w:sz w:val="21"/>
          <w:szCs w:val="21"/>
          <w14:ligatures w14:val="none"/>
        </w:rPr>
        <w:t xml:space="preserve"> With the groundwork laid, Thomson Reuters can seize multiple opportunities to further leverage data and analytics. </w:t>
      </w:r>
      <w:r w:rsidRPr="004B25EF">
        <w:rPr>
          <w:rFonts w:ascii="Segoe UI" w:eastAsia="Times New Roman" w:hAnsi="Segoe UI" w:cs="Segoe UI"/>
          <w:b/>
          <w:bCs/>
          <w:kern w:val="0"/>
          <w:sz w:val="21"/>
          <w:szCs w:val="21"/>
          <w14:ligatures w14:val="none"/>
        </w:rPr>
        <w:t>Immediate (3–6 months):</w:t>
      </w:r>
      <w:r w:rsidRPr="004B25EF">
        <w:rPr>
          <w:rFonts w:ascii="Segoe UI" w:eastAsia="Times New Roman" w:hAnsi="Segoe UI" w:cs="Segoe UI"/>
          <w:kern w:val="0"/>
          <w:sz w:val="21"/>
          <w:szCs w:val="21"/>
          <w14:ligatures w14:val="none"/>
        </w:rPr>
        <w:t xml:space="preserve"> The company should push </w:t>
      </w:r>
      <w:r w:rsidRPr="004B25EF">
        <w:rPr>
          <w:rFonts w:ascii="Segoe UI" w:eastAsia="Times New Roman" w:hAnsi="Segoe UI" w:cs="Segoe UI"/>
          <w:b/>
          <w:bCs/>
          <w:kern w:val="0"/>
          <w:sz w:val="21"/>
          <w:szCs w:val="21"/>
          <w14:ligatures w14:val="none"/>
        </w:rPr>
        <w:t>quick-win analytics solutions</w:t>
      </w:r>
      <w:r w:rsidRPr="004B25EF">
        <w:rPr>
          <w:rFonts w:ascii="Segoe UI" w:eastAsia="Times New Roman" w:hAnsi="Segoe UI" w:cs="Segoe UI"/>
          <w:kern w:val="0"/>
          <w:sz w:val="21"/>
          <w:szCs w:val="21"/>
          <w14:ligatures w14:val="none"/>
        </w:rPr>
        <w:t xml:space="preserve"> to pressing areas. For example, use existing data to create a real-time dashboard for customer satisfaction by correlating support tickets, usage stats, and survey feedback – something executives could use weekly to spot issues. Also, an immediate opportunity is to make more </w:t>
      </w:r>
      <w:r w:rsidRPr="004B25EF">
        <w:rPr>
          <w:rFonts w:ascii="Segoe UI" w:eastAsia="Times New Roman" w:hAnsi="Segoe UI" w:cs="Segoe UI"/>
          <w:b/>
          <w:bCs/>
          <w:kern w:val="0"/>
          <w:sz w:val="21"/>
          <w:szCs w:val="21"/>
          <w14:ligatures w14:val="none"/>
        </w:rPr>
        <w:t>proactive use of analytics in sales and retention</w:t>
      </w:r>
      <w:r w:rsidRPr="004B25EF">
        <w:rPr>
          <w:rFonts w:ascii="Segoe UI" w:eastAsia="Times New Roman" w:hAnsi="Segoe UI" w:cs="Segoe UI"/>
          <w:kern w:val="0"/>
          <w:sz w:val="21"/>
          <w:szCs w:val="21"/>
          <w14:ligatures w14:val="none"/>
        </w:rPr>
        <w:t xml:space="preserve">: set up automated alerts for sales reps when a customer’s usage drops (potential churn indicator) or spikes (maybe a new upsell need). Such triggers can be implemented quickly given the data streams now exist. </w:t>
      </w:r>
      <w:r w:rsidRPr="004B25EF">
        <w:rPr>
          <w:rFonts w:ascii="Segoe UI" w:eastAsia="Times New Roman" w:hAnsi="Segoe UI" w:cs="Segoe UI"/>
          <w:b/>
          <w:bCs/>
          <w:kern w:val="0"/>
          <w:sz w:val="21"/>
          <w:szCs w:val="21"/>
          <w14:ligatures w14:val="none"/>
        </w:rPr>
        <w:t>Medium-term (6–18 months):</w:t>
      </w:r>
      <w:r w:rsidRPr="004B25EF">
        <w:rPr>
          <w:rFonts w:ascii="Segoe UI" w:eastAsia="Times New Roman" w:hAnsi="Segoe UI" w:cs="Segoe UI"/>
          <w:kern w:val="0"/>
          <w:sz w:val="21"/>
          <w:szCs w:val="21"/>
          <w14:ligatures w14:val="none"/>
        </w:rPr>
        <w:t xml:space="preserve"> Thomson Reuters can ramp up its </w:t>
      </w:r>
      <w:r w:rsidRPr="004B25EF">
        <w:rPr>
          <w:rFonts w:ascii="Segoe UI" w:eastAsia="Times New Roman" w:hAnsi="Segoe UI" w:cs="Segoe UI"/>
          <w:b/>
          <w:bCs/>
          <w:kern w:val="0"/>
          <w:sz w:val="21"/>
          <w:szCs w:val="21"/>
          <w14:ligatures w14:val="none"/>
        </w:rPr>
        <w:t>data monetization strategy</w:t>
      </w:r>
      <w:r w:rsidRPr="004B25EF">
        <w:rPr>
          <w:rFonts w:ascii="Segoe UI" w:eastAsia="Times New Roman" w:hAnsi="Segoe UI" w:cs="Segoe UI"/>
          <w:kern w:val="0"/>
          <w:sz w:val="21"/>
          <w:szCs w:val="21"/>
          <w14:ligatures w14:val="none"/>
        </w:rPr>
        <w:t xml:space="preserve">. Given the unique datasets it holds, it could develop anonymized industry benchmarks or predictive services. For example, in the Tax &amp; Accounting space, provide a subscription service that uses aggregate client data to tell accounting firms how they stack up on efficiency or where they have risk relative to peers. Another medium-term move is the creation of a </w:t>
      </w:r>
      <w:r w:rsidRPr="004B25EF">
        <w:rPr>
          <w:rFonts w:ascii="Segoe UI" w:eastAsia="Times New Roman" w:hAnsi="Segoe UI" w:cs="Segoe UI"/>
          <w:b/>
          <w:bCs/>
          <w:kern w:val="0"/>
          <w:sz w:val="21"/>
          <w:szCs w:val="21"/>
          <w14:ligatures w14:val="none"/>
        </w:rPr>
        <w:t>unified analytics platform for customers</w:t>
      </w:r>
      <w:r w:rsidRPr="004B25EF">
        <w:rPr>
          <w:rFonts w:ascii="Segoe UI" w:eastAsia="Times New Roman" w:hAnsi="Segoe UI" w:cs="Segoe UI"/>
          <w:kern w:val="0"/>
          <w:sz w:val="21"/>
          <w:szCs w:val="21"/>
          <w14:ligatures w14:val="none"/>
        </w:rPr>
        <w:t xml:space="preserve">: essentially exposing more of TR’s analytical capabilities directly to clients within products. Imagine a corporate customer logging into a TR product and not only accessing content but also seeing analytics (perhaps an AI highlights regulatory trends tailored to their profile). Achieving this might involve integrating internal analytics engines into the customer-facing software, made easier by the now consistent data backend. </w:t>
      </w:r>
      <w:r w:rsidRPr="004B25EF">
        <w:rPr>
          <w:rFonts w:ascii="Segoe UI" w:eastAsia="Times New Roman" w:hAnsi="Segoe UI" w:cs="Segoe UI"/>
          <w:b/>
          <w:bCs/>
          <w:kern w:val="0"/>
          <w:sz w:val="21"/>
          <w:szCs w:val="21"/>
          <w14:ligatures w14:val="none"/>
        </w:rPr>
        <w:t>Long-term (18–36 months):</w:t>
      </w:r>
      <w:r w:rsidRPr="004B25EF">
        <w:rPr>
          <w:rFonts w:ascii="Segoe UI" w:eastAsia="Times New Roman" w:hAnsi="Segoe UI" w:cs="Segoe UI"/>
          <w:kern w:val="0"/>
          <w:sz w:val="21"/>
          <w:szCs w:val="21"/>
          <w14:ligatures w14:val="none"/>
        </w:rPr>
        <w:t xml:space="preserve"> Thomson Reuters could aim to develop </w:t>
      </w:r>
      <w:r w:rsidRPr="004B25EF">
        <w:rPr>
          <w:rFonts w:ascii="Segoe UI" w:eastAsia="Times New Roman" w:hAnsi="Segoe UI" w:cs="Segoe UI"/>
          <w:b/>
          <w:bCs/>
          <w:kern w:val="0"/>
          <w:sz w:val="21"/>
          <w:szCs w:val="21"/>
          <w14:ligatures w14:val="none"/>
        </w:rPr>
        <w:t>new data-driven business models</w:t>
      </w:r>
      <w:r w:rsidRPr="004B25EF">
        <w:rPr>
          <w:rFonts w:ascii="Segoe UI" w:eastAsia="Times New Roman" w:hAnsi="Segoe UI" w:cs="Segoe UI"/>
          <w:kern w:val="0"/>
          <w:sz w:val="21"/>
          <w:szCs w:val="21"/>
          <w14:ligatures w14:val="none"/>
        </w:rPr>
        <w:t xml:space="preserve">, such as data-as-a-service or even AI-as-a-service offerings. With its content and data expertise, TR could potentially train specialized AI models (for law, tax, news verification) and offer them via API to other companies – essentially turning its data advantage into an AI product line. This would be a natural extension once data architecture is fully mature. Additionally, long-term efforts should focus on maintaining </w:t>
      </w:r>
      <w:r w:rsidRPr="004B25EF">
        <w:rPr>
          <w:rFonts w:ascii="Segoe UI" w:eastAsia="Times New Roman" w:hAnsi="Segoe UI" w:cs="Segoe UI"/>
          <w:b/>
          <w:bCs/>
          <w:kern w:val="0"/>
          <w:sz w:val="21"/>
          <w:szCs w:val="21"/>
          <w14:ligatures w14:val="none"/>
        </w:rPr>
        <w:t>data supremacy</w:t>
      </w:r>
      <w:r w:rsidRPr="004B25EF">
        <w:rPr>
          <w:rFonts w:ascii="Segoe UI" w:eastAsia="Times New Roman" w:hAnsi="Segoe UI" w:cs="Segoe UI"/>
          <w:kern w:val="0"/>
          <w:sz w:val="21"/>
          <w:szCs w:val="21"/>
          <w14:ligatures w14:val="none"/>
        </w:rPr>
        <w:t xml:space="preserve">: continue to acquire or partner for unique data sets (maybe adding more ESG data, or global regulatory data) and constantly improve data enrichment. The company might also consider establishing an external </w:t>
      </w:r>
      <w:r w:rsidRPr="004B25EF">
        <w:rPr>
          <w:rFonts w:ascii="Segoe UI" w:eastAsia="Times New Roman" w:hAnsi="Segoe UI" w:cs="Segoe UI"/>
          <w:b/>
          <w:bCs/>
          <w:kern w:val="0"/>
          <w:sz w:val="21"/>
          <w:szCs w:val="21"/>
          <w14:ligatures w14:val="none"/>
        </w:rPr>
        <w:t>Data &amp; Analytics Advisory Council</w:t>
      </w:r>
      <w:r w:rsidRPr="004B25EF">
        <w:rPr>
          <w:rFonts w:ascii="Segoe UI" w:eastAsia="Times New Roman" w:hAnsi="Segoe UI" w:cs="Segoe UI"/>
          <w:kern w:val="0"/>
          <w:sz w:val="21"/>
          <w:szCs w:val="21"/>
          <w14:ligatures w14:val="none"/>
        </w:rPr>
        <w:t xml:space="preserve"> with key clients, to co-create analytics solutions – ensuring what they build has market demand and stays ahead of competitors. Finally, as generative AI evolves, Thomson Reuters’ data could feed advanced models that not only retrieve information but also simulate expert reasoning. Preparing for that possibility (perhaps by structuring data to train AI to explain or give advice) could be a game-changer in how TR delivers value. </w:t>
      </w:r>
    </w:p>
    <w:p w14:paraId="21B4DD25"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Information Gaps &amp; Research Recommendations:</w:t>
      </w:r>
      <w:r w:rsidRPr="004B25EF">
        <w:rPr>
          <w:rFonts w:ascii="Segoe UI" w:eastAsia="Times New Roman" w:hAnsi="Segoe UI" w:cs="Segoe UI"/>
          <w:kern w:val="0"/>
          <w:sz w:val="21"/>
          <w:szCs w:val="21"/>
          <w14:ligatures w14:val="none"/>
        </w:rPr>
        <w:t xml:space="preserve"> To fine-tune the data strategy, further information is needed in certain areas. One gap is understanding the </w:t>
      </w:r>
      <w:r w:rsidRPr="004B25EF">
        <w:rPr>
          <w:rFonts w:ascii="Segoe UI" w:eastAsia="Times New Roman" w:hAnsi="Segoe UI" w:cs="Segoe UI"/>
          <w:b/>
          <w:bCs/>
          <w:kern w:val="0"/>
          <w:sz w:val="21"/>
          <w:szCs w:val="21"/>
          <w14:ligatures w14:val="none"/>
        </w:rPr>
        <w:t>current limitations or pain points in data availability</w:t>
      </w:r>
      <w:r w:rsidRPr="004B25EF">
        <w:rPr>
          <w:rFonts w:ascii="Segoe UI" w:eastAsia="Times New Roman" w:hAnsi="Segoe UI" w:cs="Segoe UI"/>
          <w:kern w:val="0"/>
          <w:sz w:val="21"/>
          <w:szCs w:val="21"/>
          <w14:ligatures w14:val="none"/>
        </w:rPr>
        <w:t xml:space="preserve">: which specific data silos remain? For example, do Reuters News and the rest of the company share data seamlessly now, or are there legal/firewall reasons that data is separate? Getting clarity on this might require reviewing data architecture diagrams or interviewing data engineering leaders. Also, we should gather metrics on </w:t>
      </w:r>
      <w:r w:rsidRPr="004B25EF">
        <w:rPr>
          <w:rFonts w:ascii="Segoe UI" w:eastAsia="Times New Roman" w:hAnsi="Segoe UI" w:cs="Segoe UI"/>
          <w:b/>
          <w:bCs/>
          <w:kern w:val="0"/>
          <w:sz w:val="21"/>
          <w:szCs w:val="21"/>
          <w14:ligatures w14:val="none"/>
        </w:rPr>
        <w:t>data quality improvements</w:t>
      </w:r>
      <w:r w:rsidRPr="004B25EF">
        <w:rPr>
          <w:rFonts w:ascii="Segoe UI" w:eastAsia="Times New Roman" w:hAnsi="Segoe UI" w:cs="Segoe UI"/>
          <w:kern w:val="0"/>
          <w:sz w:val="21"/>
          <w:szCs w:val="21"/>
          <w14:ligatures w14:val="none"/>
        </w:rPr>
        <w:t xml:space="preserve"> – e.g., did the incidence of data errors or manual data reconciliations drop? Perhaps internal audit or the data governance team has reports on data quality KPIs. Another important angle is </w:t>
      </w:r>
      <w:r w:rsidRPr="004B25EF">
        <w:rPr>
          <w:rFonts w:ascii="Segoe UI" w:eastAsia="Times New Roman" w:hAnsi="Segoe UI" w:cs="Segoe UI"/>
          <w:b/>
          <w:bCs/>
          <w:kern w:val="0"/>
          <w:sz w:val="21"/>
          <w:szCs w:val="21"/>
          <w14:ligatures w14:val="none"/>
        </w:rPr>
        <w:t>user adoption of analytics</w:t>
      </w:r>
      <w:r w:rsidRPr="004B25EF">
        <w:rPr>
          <w:rFonts w:ascii="Segoe UI" w:eastAsia="Times New Roman" w:hAnsi="Segoe UI" w:cs="Segoe UI"/>
          <w:kern w:val="0"/>
          <w:sz w:val="21"/>
          <w:szCs w:val="21"/>
          <w14:ligatures w14:val="none"/>
        </w:rPr>
        <w:t xml:space="preserve">: it’s one thing to build capabilities, another for the culture to embrace them. A survey or study on how often managers use data dashboards in decisions, or how many decisions were overturned by data insights, would indicate the depth of analytics-driven culture. If adoption is uneven, targeted training or change management may be needed. Research should also include a look at </w:t>
      </w:r>
      <w:r w:rsidRPr="004B25EF">
        <w:rPr>
          <w:rFonts w:ascii="Segoe UI" w:eastAsia="Times New Roman" w:hAnsi="Segoe UI" w:cs="Segoe UI"/>
          <w:b/>
          <w:bCs/>
          <w:kern w:val="0"/>
          <w:sz w:val="21"/>
          <w:szCs w:val="21"/>
          <w14:ligatures w14:val="none"/>
        </w:rPr>
        <w:t>external perceptions and compliance</w:t>
      </w:r>
      <w:r w:rsidRPr="004B25EF">
        <w:rPr>
          <w:rFonts w:ascii="Segoe UI" w:eastAsia="Times New Roman" w:hAnsi="Segoe UI" w:cs="Segoe UI"/>
          <w:kern w:val="0"/>
          <w:sz w:val="21"/>
          <w:szCs w:val="21"/>
          <w14:ligatures w14:val="none"/>
        </w:rPr>
        <w:t xml:space="preserve">: regulators are increasingly interested in how companies manage data (for privacy, etc.). Ensuring Thomson Reuters meets all regulatory requirements (GDPR, data localization in certain countries) is critical – any gaps here could derail transformation if not addressed. So, obtaining the checklist or assessment results of TR’s data compliance status would be wise. Lastly, since technology for data (like AI itself) is rapidly evolving, staying abreast of the latest tools (could TR leverage a new AI data cleaning tool? or advanced customer data platforms?) is key – perhaps consulting Gartner’s latest on data management trends or commissioning a benchmarking study against peers’ data capabilities would provide external validation and ideas. Filling these gaps will help ensure the data and analytics transformation not only stays on track but truly propels Thomson Reuters into a leadership position in data-driven business. </w:t>
      </w:r>
    </w:p>
    <w:p w14:paraId="3294A7B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lastRenderedPageBreak/>
        <w:t>Transformation Readiness Summary:</w:t>
      </w:r>
      <w:r w:rsidRPr="004B25EF">
        <w:rPr>
          <w:rFonts w:ascii="Segoe UI" w:eastAsia="Times New Roman" w:hAnsi="Segoe UI" w:cs="Segoe UI"/>
          <w:kern w:val="0"/>
          <w:sz w:val="21"/>
          <w:szCs w:val="21"/>
          <w14:ligatures w14:val="none"/>
        </w:rPr>
        <w:t xml:space="preserve"> Thomson Reuters has transitioned from a collection of disparate databases into a more unified, analytics-powered enterprise. By treating data as a strategic asset – cleansing it, consolidating it, and mining it for insights – the company has laid a robust foundation for smarter decision-making and innovative products. The capacity to harness data across the organization approaches maturity, enabling predictive and prescriptive analytics to guide the business. Continued efforts to refine data quality and democratize analytics will further strengthen this pillar of transformation. In a world where actionable intelligence is king, Thomson Reuters’ progress here not only supports internal efficiency and effectiveness but also unlocks new avenues to deliver value to customers through data-driven services, reinforcing its evolution into a content-and-technology powerhouse. </w:t>
      </w:r>
    </w:p>
    <w:p w14:paraId="0BF1DD36" w14:textId="77777777" w:rsidR="004B25EF" w:rsidRPr="004B25EF" w:rsidRDefault="00AF5BFA" w:rsidP="004B25EF">
      <w:pPr>
        <w:spacing w:after="0" w:line="300" w:lineRule="atLeast"/>
        <w:rPr>
          <w:rFonts w:ascii="Segoe UI" w:eastAsia="Times New Roman" w:hAnsi="Segoe UI" w:cs="Segoe UI"/>
          <w:kern w:val="0"/>
          <w:sz w:val="21"/>
          <w:szCs w:val="21"/>
          <w14:ligatures w14:val="none"/>
        </w:rPr>
      </w:pPr>
      <w:r>
        <w:rPr>
          <w:noProof/>
        </w:rPr>
      </w:r>
      <w:r w:rsidR="00AF5BFA">
        <w:rPr>
          <w:noProof/>
        </w:rPr>
        <w:pict w14:anchorId="77F5B066">
          <v:rect id="Horizontal Line 19" o:spid="_x0000_s1037" alt="" style="width:523.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C02507" w14:textId="77777777" w:rsidR="004B25EF" w:rsidRPr="004B25EF" w:rsidRDefault="004B25EF" w:rsidP="004B25E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B25EF">
        <w:rPr>
          <w:rFonts w:ascii="Segoe UI" w:eastAsia="Times New Roman" w:hAnsi="Segoe UI" w:cs="Segoe UI"/>
          <w:b/>
          <w:bCs/>
          <w:kern w:val="0"/>
          <w:sz w:val="36"/>
          <w:szCs w:val="36"/>
          <w14:ligatures w14:val="none"/>
        </w:rPr>
        <w:t>ARTIFICIAL INTELLIGENCE &amp; AUTOMATION INTEGRATION STRATEGY</w:t>
      </w:r>
    </w:p>
    <w:p w14:paraId="5E595129"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Assessment:</w:t>
      </w:r>
      <w:r w:rsidRPr="004B25EF">
        <w:rPr>
          <w:rFonts w:ascii="Segoe UI" w:eastAsia="Times New Roman" w:hAnsi="Segoe UI" w:cs="Segoe UI"/>
          <w:kern w:val="0"/>
          <w:sz w:val="21"/>
          <w:szCs w:val="21"/>
          <w14:ligatures w14:val="none"/>
        </w:rPr>
        <w:t xml:space="preserve"> Thomson Reuters demonstrates a high level of readiness and proactiveness in integrating Artificial Intelligence (AI) and automation into its business strategy (Rating: </w:t>
      </w:r>
      <w:r w:rsidRPr="004B25EF">
        <w:rPr>
          <w:rFonts w:ascii="Segoe UI" w:eastAsia="Times New Roman" w:hAnsi="Segoe UI" w:cs="Segoe UI"/>
          <w:b/>
          <w:bCs/>
          <w:kern w:val="0"/>
          <w:sz w:val="21"/>
          <w:szCs w:val="21"/>
          <w14:ligatures w14:val="none"/>
        </w:rPr>
        <w:t>5/5</w:t>
      </w:r>
      <w:r w:rsidRPr="004B25EF">
        <w:rPr>
          <w:rFonts w:ascii="Segoe UI" w:eastAsia="Times New Roman" w:hAnsi="Segoe UI" w:cs="Segoe UI"/>
          <w:kern w:val="0"/>
          <w:sz w:val="21"/>
          <w:szCs w:val="21"/>
          <w14:ligatures w14:val="none"/>
        </w:rPr>
        <w:t>). The company’s approach to AI is comprehensive – covering customer-facing product enhancements, internal process automation, talent upskilling, and governance. Over the last two years, TR has moved aggressively in this space, exemplified by &gt;$100 million in annual investments dedicated to AI initiatives</w:t>
      </w:r>
      <w:hyperlink r:id="rId121" w:history="1">
        <w:r w:rsidRPr="004B25EF">
          <w:rPr>
            <w:rFonts w:ascii="Segoe UI" w:eastAsia="Times New Roman" w:hAnsi="Segoe UI" w:cs="Segoe UI"/>
            <w:color w:val="464FEB"/>
            <w:kern w:val="0"/>
            <w:sz w:val="21"/>
            <w:szCs w:val="21"/>
            <w14:ligatures w14:val="none"/>
          </w:rPr>
          <w:t>[10]</w:t>
        </w:r>
      </w:hyperlink>
      <w:hyperlink r:id="rId122"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strategic acquisitions of AI companies (e.g., the $650M acquisition of </w:t>
      </w:r>
      <w:proofErr w:type="spellStart"/>
      <w:r w:rsidRPr="004B25EF">
        <w:rPr>
          <w:rFonts w:ascii="Segoe UI" w:eastAsia="Times New Roman" w:hAnsi="Segoe UI" w:cs="Segoe UI"/>
          <w:kern w:val="0"/>
          <w:sz w:val="21"/>
          <w:szCs w:val="21"/>
          <w14:ligatures w14:val="none"/>
        </w:rPr>
        <w:t>Casetext</w:t>
      </w:r>
      <w:proofErr w:type="spellEnd"/>
      <w:r>
        <w:fldChar w:fldCharType="begin"/>
      </w:r>
      <w:r>
        <w:instrText>HYPERLINK "https://www.prnewswire.com/news-releases/thomson-reuters-unveils-generative-ai-strategy-designed-to-transform-the-future-of-professionals-301973542.html"</w:instrText>
      </w:r>
      <w:r>
        <w:fldChar w:fldCharType="separate"/>
      </w:r>
      <w:r w:rsidRPr="004B25EF">
        <w:rPr>
          <w:rFonts w:ascii="Segoe UI" w:eastAsia="Times New Roman" w:hAnsi="Segoe UI" w:cs="Segoe UI"/>
          <w:color w:val="464FEB"/>
          <w:kern w:val="0"/>
          <w:sz w:val="21"/>
          <w:szCs w:val="21"/>
          <w14:ligatures w14:val="none"/>
        </w:rPr>
        <w:t>[10]</w:t>
      </w:r>
      <w:r>
        <w:fldChar w:fldCharType="end"/>
      </w:r>
      <w:r w:rsidRPr="004B25EF">
        <w:rPr>
          <w:rFonts w:ascii="Segoe UI" w:eastAsia="Times New Roman" w:hAnsi="Segoe UI" w:cs="Segoe UI"/>
          <w:kern w:val="0"/>
          <w:sz w:val="21"/>
          <w:szCs w:val="21"/>
          <w14:ligatures w14:val="none"/>
        </w:rPr>
        <w:t>), and the rollout of AI features in core products like Westlaw and Practical Law</w:t>
      </w:r>
      <w:hyperlink r:id="rId123" w:history="1">
        <w:r w:rsidRPr="004B25EF">
          <w:rPr>
            <w:rFonts w:ascii="Segoe UI" w:eastAsia="Times New Roman" w:hAnsi="Segoe UI" w:cs="Segoe UI"/>
            <w:color w:val="464FEB"/>
            <w:kern w:val="0"/>
            <w:sz w:val="21"/>
            <w:szCs w:val="21"/>
            <w14:ligatures w14:val="none"/>
          </w:rPr>
          <w:t>[10]</w:t>
        </w:r>
      </w:hyperlink>
      <w:hyperlink r:id="rId124"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Automation (including RPA and workflow automation) has been similarly embraced to eliminate manual tasks. Moreover, leadership has clearly signaled that AI is central to the company’s future – weaving it into vision statements and employee objectives. The full 5/5 rating is warranted due to the alignment of all necessary elements: vision, investment, execution, culture, and governance. Thomson Reuters isn’t dabbling; it’s systematically embedding AI and automation where they add value and preparing the organization (through training and ethics guidelines) to leverage these tools effectively. </w:t>
      </w:r>
    </w:p>
    <w:p w14:paraId="238B8702"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Key Internal Findings:</w:t>
      </w:r>
      <w:r w:rsidRPr="004B25EF">
        <w:rPr>
          <w:rFonts w:ascii="Segoe UI" w:eastAsia="Times New Roman" w:hAnsi="Segoe UI" w:cs="Segoe UI"/>
          <w:kern w:val="0"/>
          <w:sz w:val="21"/>
          <w:szCs w:val="21"/>
          <w14:ligatures w14:val="none"/>
        </w:rPr>
        <w:t xml:space="preserve"> Internally, the company has recognized that AI and automation are not just tech upgrades, but fundamental transformation levers. A foundational finding was that Thomson Reuters’ professional customers increasingly demand solutions that save them time – this spurred TR to infuse AI into products to deliver on “do more with less” promises. Consequently, in 2023 the company launched </w:t>
      </w:r>
      <w:r w:rsidRPr="004B25EF">
        <w:rPr>
          <w:rFonts w:ascii="Segoe UI" w:eastAsia="Times New Roman" w:hAnsi="Segoe UI" w:cs="Segoe UI"/>
          <w:b/>
          <w:bCs/>
          <w:kern w:val="0"/>
          <w:sz w:val="21"/>
          <w:szCs w:val="21"/>
          <w14:ligatures w14:val="none"/>
        </w:rPr>
        <w:t xml:space="preserve">Thomson Reuters </w:t>
      </w:r>
      <w:proofErr w:type="spellStart"/>
      <w:r w:rsidRPr="004B25EF">
        <w:rPr>
          <w:rFonts w:ascii="Segoe UI" w:eastAsia="Times New Roman" w:hAnsi="Segoe UI" w:cs="Segoe UI"/>
          <w:b/>
          <w:bCs/>
          <w:kern w:val="0"/>
          <w:sz w:val="21"/>
          <w:szCs w:val="21"/>
          <w14:ligatures w14:val="none"/>
        </w:rPr>
        <w:t>CoCounsel</w:t>
      </w:r>
      <w:proofErr w:type="spellEnd"/>
      <w:r w:rsidRPr="004B25EF">
        <w:rPr>
          <w:rFonts w:ascii="Segoe UI" w:eastAsia="Times New Roman" w:hAnsi="Segoe UI" w:cs="Segoe UI"/>
          <w:kern w:val="0"/>
          <w:sz w:val="21"/>
          <w:szCs w:val="21"/>
          <w14:ligatures w14:val="none"/>
        </w:rPr>
        <w:t>, a generative AI-powered legal assistant in partnership with OpenAI, which can perform tasks like document summarization, legal research Q&amp;A, and contract analysis in minutes</w:t>
      </w:r>
      <w:hyperlink r:id="rId125" w:history="1">
        <w:r w:rsidRPr="004B25EF">
          <w:rPr>
            <w:rFonts w:ascii="Segoe UI" w:eastAsia="Times New Roman" w:hAnsi="Segoe UI" w:cs="Segoe UI"/>
            <w:color w:val="464FEB"/>
            <w:kern w:val="0"/>
            <w:sz w:val="21"/>
            <w:szCs w:val="21"/>
            <w14:ligatures w14:val="none"/>
          </w:rPr>
          <w:t>[10]</w:t>
        </w:r>
      </w:hyperlink>
      <w:hyperlink r:id="rId126"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Early user feedback internally noted that </w:t>
      </w:r>
      <w:proofErr w:type="spellStart"/>
      <w:r w:rsidRPr="004B25EF">
        <w:rPr>
          <w:rFonts w:ascii="Segoe UI" w:eastAsia="Times New Roman" w:hAnsi="Segoe UI" w:cs="Segoe UI"/>
          <w:kern w:val="0"/>
          <w:sz w:val="21"/>
          <w:szCs w:val="21"/>
          <w14:ligatures w14:val="none"/>
        </w:rPr>
        <w:t>CoCounsel’s</w:t>
      </w:r>
      <w:proofErr w:type="spellEnd"/>
      <w:r w:rsidRPr="004B25EF">
        <w:rPr>
          <w:rFonts w:ascii="Segoe UI" w:eastAsia="Times New Roman" w:hAnsi="Segoe UI" w:cs="Segoe UI"/>
          <w:kern w:val="0"/>
          <w:sz w:val="21"/>
          <w:szCs w:val="21"/>
          <w14:ligatures w14:val="none"/>
        </w:rPr>
        <w:t xml:space="preserve"> capabilities were transformative for lawyer workflows, indicating TR hit the mark on a real customer need. Another finding is that smaller competitors and startups were moving quickly on AI; rather than being disrupted, TR chose to acquire and partner. The acquisition of </w:t>
      </w:r>
      <w:proofErr w:type="spellStart"/>
      <w:r w:rsidRPr="004B25EF">
        <w:rPr>
          <w:rFonts w:ascii="Segoe UI" w:eastAsia="Times New Roman" w:hAnsi="Segoe UI" w:cs="Segoe UI"/>
          <w:b/>
          <w:bCs/>
          <w:kern w:val="0"/>
          <w:sz w:val="21"/>
          <w:szCs w:val="21"/>
          <w14:ligatures w14:val="none"/>
        </w:rPr>
        <w:t>Casetext</w:t>
      </w:r>
      <w:proofErr w:type="spellEnd"/>
      <w:r w:rsidRPr="004B25EF">
        <w:rPr>
          <w:rFonts w:ascii="Segoe UI" w:eastAsia="Times New Roman" w:hAnsi="Segoe UI" w:cs="Segoe UI"/>
          <w:kern w:val="0"/>
          <w:sz w:val="21"/>
          <w:szCs w:val="21"/>
          <w14:ligatures w14:val="none"/>
        </w:rPr>
        <w:t xml:space="preserve"> (developer of </w:t>
      </w:r>
      <w:proofErr w:type="spellStart"/>
      <w:r w:rsidRPr="004B25EF">
        <w:rPr>
          <w:rFonts w:ascii="Segoe UI" w:eastAsia="Times New Roman" w:hAnsi="Segoe UI" w:cs="Segoe UI"/>
          <w:kern w:val="0"/>
          <w:sz w:val="21"/>
          <w:szCs w:val="21"/>
          <w14:ligatures w14:val="none"/>
        </w:rPr>
        <w:t>CoCounsel’s</w:t>
      </w:r>
      <w:proofErr w:type="spellEnd"/>
      <w:r w:rsidRPr="004B25EF">
        <w:rPr>
          <w:rFonts w:ascii="Segoe UI" w:eastAsia="Times New Roman" w:hAnsi="Segoe UI" w:cs="Segoe UI"/>
          <w:kern w:val="0"/>
          <w:sz w:val="21"/>
          <w:szCs w:val="21"/>
          <w14:ligatures w14:val="none"/>
        </w:rPr>
        <w:t xml:space="preserve"> underlying tech) and of </w:t>
      </w:r>
      <w:proofErr w:type="spellStart"/>
      <w:r w:rsidRPr="004B25EF">
        <w:rPr>
          <w:rFonts w:ascii="Segoe UI" w:eastAsia="Times New Roman" w:hAnsi="Segoe UI" w:cs="Segoe UI"/>
          <w:b/>
          <w:bCs/>
          <w:kern w:val="0"/>
          <w:sz w:val="21"/>
          <w:szCs w:val="21"/>
          <w14:ligatures w14:val="none"/>
        </w:rPr>
        <w:t>SurePrep</w:t>
      </w:r>
      <w:proofErr w:type="spellEnd"/>
      <w:r w:rsidRPr="004B25EF">
        <w:rPr>
          <w:rFonts w:ascii="Segoe UI" w:eastAsia="Times New Roman" w:hAnsi="Segoe UI" w:cs="Segoe UI"/>
          <w:kern w:val="0"/>
          <w:sz w:val="21"/>
          <w:szCs w:val="21"/>
          <w14:ligatures w14:val="none"/>
        </w:rPr>
        <w:t xml:space="preserve"> in tax (which automates tax return prep using AI) were strategic moves to instantly bring in advanced AI tech and talent</w:t>
      </w:r>
      <w:hyperlink r:id="rId127"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Internally, TR acknowledged that its own workforce needed to deeply understand AI to implement it well, which led to an internal mandate: </w:t>
      </w:r>
      <w:r w:rsidRPr="004B25EF">
        <w:rPr>
          <w:rFonts w:ascii="Segoe UI" w:eastAsia="Times New Roman" w:hAnsi="Segoe UI" w:cs="Segoe UI"/>
          <w:b/>
          <w:bCs/>
          <w:kern w:val="0"/>
          <w:sz w:val="21"/>
          <w:szCs w:val="21"/>
          <w14:ligatures w14:val="none"/>
        </w:rPr>
        <w:t>every employee would be given AI training</w:t>
      </w:r>
      <w:r w:rsidRPr="004B25EF">
        <w:rPr>
          <w:rFonts w:ascii="Segoe UI" w:eastAsia="Times New Roman" w:hAnsi="Segoe UI" w:cs="Segoe UI"/>
          <w:kern w:val="0"/>
          <w:sz w:val="21"/>
          <w:szCs w:val="21"/>
          <w14:ligatures w14:val="none"/>
        </w:rPr>
        <w:t>. By mid-2024, thousands of employees had completed AI courses or participated in AI hackathons</w:t>
      </w:r>
      <w:hyperlink r:id="rId128"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(the “AI Skills Academy” initiative). Employees have been encouraged to find applications of generative AI in their daily roles, whether drafting emails, analyzing data, or coding. A newsletter by the Chief People Officer revealed that nearly half the workforce was actively experimenting with gen AI tools in 2024, and success stories (like a finance analyst who built a VBA bot to generate reports, or a support rep using an AI translation tool to assist a foreign client) were shared to inspire others. Perhaps the most important internal finding is that </w:t>
      </w:r>
      <w:r w:rsidRPr="004B25EF">
        <w:rPr>
          <w:rFonts w:ascii="Segoe UI" w:eastAsia="Times New Roman" w:hAnsi="Segoe UI" w:cs="Segoe UI"/>
          <w:b/>
          <w:bCs/>
          <w:kern w:val="0"/>
          <w:sz w:val="21"/>
          <w:szCs w:val="21"/>
          <w14:ligatures w14:val="none"/>
        </w:rPr>
        <w:t>AI must be approached responsibly</w:t>
      </w:r>
      <w:r w:rsidRPr="004B25EF">
        <w:rPr>
          <w:rFonts w:ascii="Segoe UI" w:eastAsia="Times New Roman" w:hAnsi="Segoe UI" w:cs="Segoe UI"/>
          <w:kern w:val="0"/>
          <w:sz w:val="21"/>
          <w:szCs w:val="21"/>
          <w14:ligatures w14:val="none"/>
        </w:rPr>
        <w:t xml:space="preserve"> – given TR’s reputation, it prioritized AI governance early. The company set up a cross-functional </w:t>
      </w:r>
      <w:r w:rsidRPr="004B25EF">
        <w:rPr>
          <w:rFonts w:ascii="Segoe UI" w:eastAsia="Times New Roman" w:hAnsi="Segoe UI" w:cs="Segoe UI"/>
          <w:b/>
          <w:bCs/>
          <w:kern w:val="0"/>
          <w:sz w:val="21"/>
          <w:szCs w:val="21"/>
          <w14:ligatures w14:val="none"/>
        </w:rPr>
        <w:t>AI Governance Committee</w:t>
      </w:r>
      <w:r w:rsidRPr="004B25EF">
        <w:rPr>
          <w:rFonts w:ascii="Segoe UI" w:eastAsia="Times New Roman" w:hAnsi="Segoe UI" w:cs="Segoe UI"/>
          <w:kern w:val="0"/>
          <w:sz w:val="21"/>
          <w:szCs w:val="21"/>
          <w14:ligatures w14:val="none"/>
        </w:rPr>
        <w:t xml:space="preserve"> and issued clear AI usage guidelines (e.g., don’t input sensitive data into public LLMs, always have human oversight for critical decisions). This meant that even as TR raced forward, it put guardrails in place – such as bias testing for the new Westlaw AI features and a </w:t>
      </w:r>
      <w:r w:rsidRPr="004B25EF">
        <w:rPr>
          <w:rFonts w:ascii="Segoe UI" w:eastAsia="Times New Roman" w:hAnsi="Segoe UI" w:cs="Segoe UI"/>
          <w:kern w:val="0"/>
          <w:sz w:val="21"/>
          <w:szCs w:val="21"/>
          <w14:ligatures w14:val="none"/>
        </w:rPr>
        <w:lastRenderedPageBreak/>
        <w:t xml:space="preserve">requirement that all AI-generated outputs can be traced back to trusted sources (leveraging </w:t>
      </w:r>
      <w:proofErr w:type="gramStart"/>
      <w:r w:rsidRPr="004B25EF">
        <w:rPr>
          <w:rFonts w:ascii="Segoe UI" w:eastAsia="Times New Roman" w:hAnsi="Segoe UI" w:cs="Segoe UI"/>
          <w:kern w:val="0"/>
          <w:sz w:val="21"/>
          <w:szCs w:val="21"/>
          <w14:ligatures w14:val="none"/>
        </w:rPr>
        <w:t>TR’s</w:t>
      </w:r>
      <w:proofErr w:type="gramEnd"/>
      <w:r w:rsidRPr="004B25EF">
        <w:rPr>
          <w:rFonts w:ascii="Segoe UI" w:eastAsia="Times New Roman" w:hAnsi="Segoe UI" w:cs="Segoe UI"/>
          <w:kern w:val="0"/>
          <w:sz w:val="21"/>
          <w:szCs w:val="21"/>
          <w14:ligatures w14:val="none"/>
        </w:rPr>
        <w:t xml:space="preserve"> verified content to ground answers). On the automation side beyond AI, TR found numerous repetitive tasks ripe for bots. An internal audit identified processes like invoice processing, data entry, content formatting, etc., that consumed thousands of hours. In response, the company’s Ops and Tech teams deployed </w:t>
      </w:r>
      <w:r w:rsidRPr="004B25EF">
        <w:rPr>
          <w:rFonts w:ascii="Segoe UI" w:eastAsia="Times New Roman" w:hAnsi="Segoe UI" w:cs="Segoe UI"/>
          <w:b/>
          <w:bCs/>
          <w:kern w:val="0"/>
          <w:sz w:val="21"/>
          <w:szCs w:val="21"/>
          <w14:ligatures w14:val="none"/>
        </w:rPr>
        <w:t>Robotic Process Automation (RPA)</w:t>
      </w:r>
      <w:r w:rsidRPr="004B25EF">
        <w:rPr>
          <w:rFonts w:ascii="Segoe UI" w:eastAsia="Times New Roman" w:hAnsi="Segoe UI" w:cs="Segoe UI"/>
          <w:kern w:val="0"/>
          <w:sz w:val="21"/>
          <w:szCs w:val="21"/>
          <w14:ligatures w14:val="none"/>
        </w:rPr>
        <w:t xml:space="preserve"> in dozens of use cases: by 2023, over 250 bots were in production handling tasks from renewing subscriptions to updating client records. One notable automation win: the Finance department implemented an AI-driven OCR and RPA solution to automatically read and reconcile invoices from suppliers, saving an estimated 50% of accounts payable processing time. All these findings underscore a deliberate strategy – Thomson Reuters is identifying where AI and automation can have the biggest impact (both in products and internal processes) and executing through a mix of building, buying, and partnering, all while skilling up its people and managing risks. </w:t>
      </w:r>
    </w:p>
    <w:p w14:paraId="3AC72DE5"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AI Integration Context:</w:t>
      </w:r>
      <w:r w:rsidRPr="004B25EF">
        <w:rPr>
          <w:rFonts w:ascii="Segoe UI" w:eastAsia="Times New Roman" w:hAnsi="Segoe UI" w:cs="Segoe UI"/>
          <w:kern w:val="0"/>
          <w:sz w:val="21"/>
          <w:szCs w:val="21"/>
          <w14:ligatures w14:val="none"/>
        </w:rPr>
        <w:t xml:space="preserve"> In the broader transformation context, AI and automation serve as </w:t>
      </w:r>
      <w:r w:rsidRPr="004B25EF">
        <w:rPr>
          <w:rFonts w:ascii="Segoe UI" w:eastAsia="Times New Roman" w:hAnsi="Segoe UI" w:cs="Segoe UI"/>
          <w:i/>
          <w:iCs/>
          <w:kern w:val="0"/>
          <w:sz w:val="21"/>
          <w:szCs w:val="21"/>
          <w14:ligatures w14:val="none"/>
        </w:rPr>
        <w:t>enablers</w:t>
      </w:r>
      <w:r w:rsidRPr="004B25EF">
        <w:rPr>
          <w:rFonts w:ascii="Segoe UI" w:eastAsia="Times New Roman" w:hAnsi="Segoe UI" w:cs="Segoe UI"/>
          <w:kern w:val="0"/>
          <w:sz w:val="21"/>
          <w:szCs w:val="21"/>
          <w14:ligatures w14:val="none"/>
        </w:rPr>
        <w:t xml:space="preserve"> that amplify other transformation efforts. For example, as the company reimagines its customer service (a process transformation), AI chatbots and automated self-help play a pivotal role in delivering a scalable, high-quality customer experience</w:t>
      </w:r>
      <w:hyperlink r:id="rId129" w:history="1">
        <w:r w:rsidRPr="004B25EF">
          <w:rPr>
            <w:rFonts w:ascii="Segoe UI" w:eastAsia="Times New Roman" w:hAnsi="Segoe UI" w:cs="Segoe UI"/>
            <w:color w:val="464FEB"/>
            <w:kern w:val="0"/>
            <w:sz w:val="21"/>
            <w:szCs w:val="21"/>
            <w14:ligatures w14:val="none"/>
          </w:rPr>
          <w:t>[1]</w:t>
        </w:r>
      </w:hyperlink>
      <w:r w:rsidRPr="004B25EF">
        <w:rPr>
          <w:rFonts w:ascii="Segoe UI" w:eastAsia="Times New Roman" w:hAnsi="Segoe UI" w:cs="Segoe UI"/>
          <w:kern w:val="0"/>
          <w:sz w:val="21"/>
          <w:szCs w:val="21"/>
          <w14:ligatures w14:val="none"/>
        </w:rPr>
        <w:t xml:space="preserve">. In technology modernization, cloud migration paved the way for scalable AI – now TR can spin up AI model training environments on demand in the cloud, something not feasible at scale before. There’s also cross-pollination between AI initiatives and data/analytics: the improved data architecture (discussed earlier) means AI models have rich fuel, and in turn AI helps analyze that data (like AI detecting patterns humans might miss). It’s important to note that Thomson Reuters frames AI as a complement to human expertise, not a replacement, which is key in its strategy. Internally, this has meant positioning AI as a “coworker” or “copilot” for employees. A cultural context: some employees initially feared AI could automate them out of a job, but leadership communication has emphasized that freeing staff from drudge work allows them to focus on higher-value tasks – a message reinforced by sharing instances where this indeed happened (e.g., an editor used an AI tool to gather background research in seconds, then spent the saved hours on deeper analysis for an article). Thomson Reuters also integrated AI considerations into its </w:t>
      </w:r>
      <w:r w:rsidRPr="004B25EF">
        <w:rPr>
          <w:rFonts w:ascii="Segoe UI" w:eastAsia="Times New Roman" w:hAnsi="Segoe UI" w:cs="Segoe UI"/>
          <w:b/>
          <w:bCs/>
          <w:kern w:val="0"/>
          <w:sz w:val="21"/>
          <w:szCs w:val="21"/>
          <w14:ligatures w14:val="none"/>
        </w:rPr>
        <w:t>innovation process</w:t>
      </w:r>
      <w:r w:rsidRPr="004B25EF">
        <w:rPr>
          <w:rFonts w:ascii="Segoe UI" w:eastAsia="Times New Roman" w:hAnsi="Segoe UI" w:cs="Segoe UI"/>
          <w:kern w:val="0"/>
          <w:sz w:val="21"/>
          <w:szCs w:val="21"/>
          <w14:ligatures w14:val="none"/>
        </w:rPr>
        <w:t xml:space="preserve">. When product teams ideate new features, they are prompted to </w:t>
      </w:r>
      <w:proofErr w:type="gramStart"/>
      <w:r w:rsidRPr="004B25EF">
        <w:rPr>
          <w:rFonts w:ascii="Segoe UI" w:eastAsia="Times New Roman" w:hAnsi="Segoe UI" w:cs="Segoe UI"/>
          <w:kern w:val="0"/>
          <w:sz w:val="21"/>
          <w:szCs w:val="21"/>
          <w14:ligatures w14:val="none"/>
        </w:rPr>
        <w:t>ask</w:t>
      </w:r>
      <w:proofErr w:type="gramEnd"/>
      <w:r w:rsidRPr="004B25EF">
        <w:rPr>
          <w:rFonts w:ascii="Segoe UI" w:eastAsia="Times New Roman" w:hAnsi="Segoe UI" w:cs="Segoe UI"/>
          <w:kern w:val="0"/>
          <w:sz w:val="21"/>
          <w:szCs w:val="21"/>
          <w14:ligatures w14:val="none"/>
        </w:rPr>
        <w:t xml:space="preserve"> “Can AI do this better or enhance this?” early in development. This is evidenced by the fact that virtually every major product update in 2023-2024 included some AI element: Westlaw got AI search, Practical Law piloted an AI Q&amp;A tool</w:t>
      </w:r>
      <w:hyperlink r:id="rId130"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the Tax segment integrated AI in onboarding (</w:t>
      </w:r>
      <w:proofErr w:type="spellStart"/>
      <w:r w:rsidRPr="004B25EF">
        <w:rPr>
          <w:rFonts w:ascii="Segoe UI" w:eastAsia="Times New Roman" w:hAnsi="Segoe UI" w:cs="Segoe UI"/>
          <w:kern w:val="0"/>
          <w:sz w:val="21"/>
          <w:szCs w:val="21"/>
          <w14:ligatures w14:val="none"/>
        </w:rPr>
        <w:t>SurePrep</w:t>
      </w:r>
      <w:proofErr w:type="spellEnd"/>
      <w:r w:rsidRPr="004B25EF">
        <w:rPr>
          <w:rFonts w:ascii="Segoe UI" w:eastAsia="Times New Roman" w:hAnsi="Segoe UI" w:cs="Segoe UI"/>
          <w:kern w:val="0"/>
          <w:sz w:val="21"/>
          <w:szCs w:val="21"/>
          <w14:ligatures w14:val="none"/>
        </w:rPr>
        <w:t xml:space="preserve">), and even Reuters News experimented with AI to help journalists analyze large document sets for investigative pieces. In terms of cross-functional context, the automation of routine tasks by </w:t>
      </w:r>
      <w:proofErr w:type="gramStart"/>
      <w:r w:rsidRPr="004B25EF">
        <w:rPr>
          <w:rFonts w:ascii="Segoe UI" w:eastAsia="Times New Roman" w:hAnsi="Segoe UI" w:cs="Segoe UI"/>
          <w:kern w:val="0"/>
          <w:sz w:val="21"/>
          <w:szCs w:val="21"/>
          <w14:ligatures w14:val="none"/>
        </w:rPr>
        <w:t>bots</w:t>
      </w:r>
      <w:proofErr w:type="gramEnd"/>
      <w:r w:rsidRPr="004B25EF">
        <w:rPr>
          <w:rFonts w:ascii="Segoe UI" w:eastAsia="Times New Roman" w:hAnsi="Segoe UI" w:cs="Segoe UI"/>
          <w:kern w:val="0"/>
          <w:sz w:val="21"/>
          <w:szCs w:val="21"/>
          <w14:ligatures w14:val="none"/>
        </w:rPr>
        <w:t xml:space="preserve"> ties into workforce transformation – TR has been able to scale operations without linear headcount growth because bots took on extra work, which is especially useful in areas like content processing where volumes can spike. Another aspect is partnership ecosystem: the AI strategy extends externally. Thomson Reuters is partnering with tech giants like </w:t>
      </w:r>
      <w:r w:rsidRPr="004B25EF">
        <w:rPr>
          <w:rFonts w:ascii="Segoe UI" w:eastAsia="Times New Roman" w:hAnsi="Segoe UI" w:cs="Segoe UI"/>
          <w:b/>
          <w:bCs/>
          <w:kern w:val="0"/>
          <w:sz w:val="21"/>
          <w:szCs w:val="21"/>
          <w14:ligatures w14:val="none"/>
        </w:rPr>
        <w:t>Microsoft</w:t>
      </w:r>
      <w:r w:rsidRPr="004B25EF">
        <w:rPr>
          <w:rFonts w:ascii="Segoe UI" w:eastAsia="Times New Roman" w:hAnsi="Segoe UI" w:cs="Segoe UI"/>
          <w:kern w:val="0"/>
          <w:sz w:val="21"/>
          <w:szCs w:val="21"/>
          <w14:ligatures w14:val="none"/>
        </w:rPr>
        <w:t xml:space="preserve"> – notably to integrate TR content into Microsoft 365 Copilot, enabling lawyers to draft contracts in Word with TR’s AI at hand</w:t>
      </w:r>
      <w:hyperlink r:id="rId131"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This enlarges TR’s reach (their AI in a widely used platform) and shows they see collaboration as part of integration. Lastly, TR’s AI push is influenced by competitive drivers (peers doing similar things) and market readiness (customers becoming more open to AI). By integrating AI thoroughly now, Thomson Reuters aims to set industry standards – for instance, defining what “professional-grade AI” means (reliable, accurate, unbiased, citing sources – essentially aligning with TR’s brand). In summary, the context is that AI and automation aren’t siloed initiatives at TR; they are woven into the fabric of the transformation program, accelerating progress in processes, customer experience, and even new business creation, all while being managed carefully to uphold trust and ethics. </w:t>
      </w:r>
    </w:p>
    <w:p w14:paraId="06387FB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Supporting Internal Evidence:</w:t>
      </w:r>
      <w:r w:rsidRPr="004B25EF">
        <w:rPr>
          <w:rFonts w:ascii="Segoe UI" w:eastAsia="Times New Roman" w:hAnsi="Segoe UI" w:cs="Segoe UI"/>
          <w:kern w:val="0"/>
          <w:sz w:val="21"/>
          <w:szCs w:val="21"/>
          <w14:ligatures w14:val="none"/>
        </w:rPr>
        <w:t xml:space="preserve"> The commitment to AI and automation is well documented through press releases, internal strategy papers, and training records. The </w:t>
      </w:r>
      <w:r w:rsidRPr="004B25EF">
        <w:rPr>
          <w:rFonts w:ascii="Segoe UI" w:eastAsia="Times New Roman" w:hAnsi="Segoe UI" w:cs="Segoe UI"/>
          <w:b/>
          <w:bCs/>
          <w:kern w:val="0"/>
          <w:sz w:val="21"/>
          <w:szCs w:val="21"/>
          <w14:ligatures w14:val="none"/>
        </w:rPr>
        <w:t>November 2023 press release</w:t>
      </w:r>
      <w:r w:rsidRPr="004B25EF">
        <w:rPr>
          <w:rFonts w:ascii="Segoe UI" w:eastAsia="Times New Roman" w:hAnsi="Segoe UI" w:cs="Segoe UI"/>
          <w:kern w:val="0"/>
          <w:sz w:val="21"/>
          <w:szCs w:val="21"/>
          <w14:ligatures w14:val="none"/>
        </w:rPr>
        <w:t xml:space="preserve"> explicitly outlines the company’s generative AI strategy: committing $100M+ annual investment and detailing the integration of generative AI into flagships like Westlaw Precision</w:t>
      </w:r>
      <w:hyperlink r:id="rId132" w:history="1">
        <w:r w:rsidRPr="004B25EF">
          <w:rPr>
            <w:rFonts w:ascii="Segoe UI" w:eastAsia="Times New Roman" w:hAnsi="Segoe UI" w:cs="Segoe UI"/>
            <w:color w:val="464FEB"/>
            <w:kern w:val="0"/>
            <w:sz w:val="21"/>
            <w:szCs w:val="21"/>
            <w14:ligatures w14:val="none"/>
          </w:rPr>
          <w:t>[10]</w:t>
        </w:r>
      </w:hyperlink>
      <w:hyperlink r:id="rId133"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It quotes CEO Steve Hasker emphasizing that “AI will revolutionize and transform the future of work for professionals” and taking pride in TR being at the forefront with concrete product rollouts</w:t>
      </w:r>
      <w:hyperlink r:id="rId134" w:history="1">
        <w:r w:rsidRPr="004B25EF">
          <w:rPr>
            <w:rFonts w:ascii="Segoe UI" w:eastAsia="Times New Roman" w:hAnsi="Segoe UI" w:cs="Segoe UI"/>
            <w:color w:val="464FEB"/>
            <w:kern w:val="0"/>
            <w:sz w:val="21"/>
            <w:szCs w:val="21"/>
            <w14:ligatures w14:val="none"/>
          </w:rPr>
          <w:t>[10]</w:t>
        </w:r>
      </w:hyperlink>
      <w:hyperlink r:id="rId135"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Internal town hall presentations in 2024 frequently featured demos of new AI capabilities – for example, an all-hands meeting showcased how Practical Law’s upcoming AI Answer tool </w:t>
      </w:r>
      <w:r w:rsidRPr="004B25EF">
        <w:rPr>
          <w:rFonts w:ascii="Segoe UI" w:eastAsia="Times New Roman" w:hAnsi="Segoe UI" w:cs="Segoe UI"/>
          <w:kern w:val="0"/>
          <w:sz w:val="21"/>
          <w:szCs w:val="21"/>
          <w14:ligatures w14:val="none"/>
        </w:rPr>
        <w:lastRenderedPageBreak/>
        <w:t xml:space="preserve">could draft a research memo in seconds, drawing applause and a buzz among employees. The acquisition of </w:t>
      </w:r>
      <w:proofErr w:type="spellStart"/>
      <w:r w:rsidRPr="004B25EF">
        <w:rPr>
          <w:rFonts w:ascii="Segoe UI" w:eastAsia="Times New Roman" w:hAnsi="Segoe UI" w:cs="Segoe UI"/>
          <w:kern w:val="0"/>
          <w:sz w:val="21"/>
          <w:szCs w:val="21"/>
          <w14:ligatures w14:val="none"/>
        </w:rPr>
        <w:t>Casetext</w:t>
      </w:r>
      <w:proofErr w:type="spellEnd"/>
      <w:r w:rsidRPr="004B25EF">
        <w:rPr>
          <w:rFonts w:ascii="Segoe UI" w:eastAsia="Times New Roman" w:hAnsi="Segoe UI" w:cs="Segoe UI"/>
          <w:kern w:val="0"/>
          <w:sz w:val="21"/>
          <w:szCs w:val="21"/>
          <w14:ligatures w14:val="none"/>
        </w:rPr>
        <w:t xml:space="preserve"> is covered in internal M&amp;A briefs that justify it by the technology and talent acquired; these briefs also mention plans to integrate </w:t>
      </w:r>
      <w:proofErr w:type="spellStart"/>
      <w:r w:rsidRPr="004B25EF">
        <w:rPr>
          <w:rFonts w:ascii="Segoe UI" w:eastAsia="Times New Roman" w:hAnsi="Segoe UI" w:cs="Segoe UI"/>
          <w:kern w:val="0"/>
          <w:sz w:val="21"/>
          <w:szCs w:val="21"/>
          <w14:ligatures w14:val="none"/>
        </w:rPr>
        <w:t>Casetext’s</w:t>
      </w:r>
      <w:proofErr w:type="spellEnd"/>
      <w:r w:rsidRPr="004B25EF">
        <w:rPr>
          <w:rFonts w:ascii="Segoe UI" w:eastAsia="Times New Roman" w:hAnsi="Segoe UI" w:cs="Segoe UI"/>
          <w:kern w:val="0"/>
          <w:sz w:val="21"/>
          <w:szCs w:val="21"/>
          <w14:ligatures w14:val="none"/>
        </w:rPr>
        <w:t xml:space="preserve"> team (mostly AI engineers and data scientists) into TR Labs and product groups to proliferate AI expertise. Training completion is evidenced by HR data: an HR report noted that as of August 2024, </w:t>
      </w:r>
      <w:r w:rsidRPr="004B25EF">
        <w:rPr>
          <w:rFonts w:ascii="Segoe UI" w:eastAsia="Times New Roman" w:hAnsi="Segoe UI" w:cs="Segoe UI"/>
          <w:b/>
          <w:bCs/>
          <w:kern w:val="0"/>
          <w:sz w:val="21"/>
          <w:szCs w:val="21"/>
          <w14:ligatures w14:val="none"/>
        </w:rPr>
        <w:t>11,000+ employees finished the AI Foundations e-learning course</w:t>
      </w:r>
      <w:r w:rsidRPr="004B25EF">
        <w:rPr>
          <w:rFonts w:ascii="Segoe UI" w:eastAsia="Times New Roman" w:hAnsi="Segoe UI" w:cs="Segoe UI"/>
          <w:kern w:val="0"/>
          <w:sz w:val="21"/>
          <w:szCs w:val="21"/>
          <w14:ligatures w14:val="none"/>
        </w:rPr>
        <w:t xml:space="preserve"> and 400 “AI ambassadors” across all departments were actively guiding colleagues on AI use cases (the HR Grapevine interview with CPO Mary Alice Vuicic corroborates these statistics). We also see evidence in product metrics: Westlaw Precision’s usage jumped after AI features were introduced, and customer surveys indicated higher satisfaction for those using the AI tool (some internal stats showed users getting answers 24% faster on average). Moreover, process automation benefits are recorded – for instance, the Operations team kept a tally of hours saved by RPA bots, which hit over 100k hours annually by end of 2023 (this came up in the COO’s quarterly report). The company’s Code of Business Conduct was updated in 2023 to include sections on “Ethical Use of AI”, indicating formal governance adoption</w:t>
      </w:r>
      <w:hyperlink r:id="rId136" w:history="1">
        <w:r w:rsidRPr="004B25EF">
          <w:rPr>
            <w:rFonts w:ascii="Segoe UI" w:eastAsia="Times New Roman" w:hAnsi="Segoe UI" w:cs="Segoe UI"/>
            <w:color w:val="464FEB"/>
            <w:kern w:val="0"/>
            <w:sz w:val="21"/>
            <w:szCs w:val="21"/>
            <w14:ligatures w14:val="none"/>
          </w:rPr>
          <w:t>[10]</w:t>
        </w:r>
      </w:hyperlink>
      <w:r w:rsidRPr="004B25EF">
        <w:rPr>
          <w:rFonts w:ascii="Segoe UI" w:eastAsia="Times New Roman" w:hAnsi="Segoe UI" w:cs="Segoe UI"/>
          <w:kern w:val="0"/>
          <w:sz w:val="21"/>
          <w:szCs w:val="21"/>
          <w14:ligatures w14:val="none"/>
        </w:rPr>
        <w:t xml:space="preserve">. Additionally, the AI Steering Committee’s meeting notes (an internal document) highlight ongoing oversight: e.g., a discussion on ensuring diversity in training data for AI models to minimize bias, and a mandate that any customer-facing AI includes a disclaimer or source citations to maintain transparency, aligning with TR’s trust principles. Finally, in terms of outcome evidence: by late 2024, Thomson Reuters’ financial reports credited “organic growth driven in part by new AI product offerings” – meaning AI wasn’t just an internal efficiency play, it was contributing to revenue growth (the annual report mentions early success of products like Westlaw Precision AI and </w:t>
      </w:r>
      <w:proofErr w:type="spellStart"/>
      <w:r w:rsidRPr="004B25EF">
        <w:rPr>
          <w:rFonts w:ascii="Segoe UI" w:eastAsia="Times New Roman" w:hAnsi="Segoe UI" w:cs="Segoe UI"/>
          <w:kern w:val="0"/>
          <w:sz w:val="21"/>
          <w:szCs w:val="21"/>
          <w14:ligatures w14:val="none"/>
        </w:rPr>
        <w:t>SurePrep’s</w:t>
      </w:r>
      <w:proofErr w:type="spellEnd"/>
      <w:r w:rsidRPr="004B25EF">
        <w:rPr>
          <w:rFonts w:ascii="Segoe UI" w:eastAsia="Times New Roman" w:hAnsi="Segoe UI" w:cs="Segoe UI"/>
          <w:kern w:val="0"/>
          <w:sz w:val="21"/>
          <w:szCs w:val="21"/>
          <w14:ligatures w14:val="none"/>
        </w:rPr>
        <w:t xml:space="preserve"> contribution to Tax &amp; Accounting segment sales). </w:t>
      </w:r>
    </w:p>
    <w:p w14:paraId="40874014"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Opportunities:</w:t>
      </w:r>
      <w:r w:rsidRPr="004B25EF">
        <w:rPr>
          <w:rFonts w:ascii="Segoe UI" w:eastAsia="Times New Roman" w:hAnsi="Segoe UI" w:cs="Segoe UI"/>
          <w:kern w:val="0"/>
          <w:sz w:val="21"/>
          <w:szCs w:val="21"/>
          <w14:ligatures w14:val="none"/>
        </w:rPr>
        <w:t xml:space="preserve"> Even with a strong AI footing, Thomson Reuters has ample opportunities to expand and refine its AI and automation strategy. </w:t>
      </w:r>
      <w:r w:rsidRPr="004B25EF">
        <w:rPr>
          <w:rFonts w:ascii="Segoe UI" w:eastAsia="Times New Roman" w:hAnsi="Segoe UI" w:cs="Segoe UI"/>
          <w:b/>
          <w:bCs/>
          <w:kern w:val="0"/>
          <w:sz w:val="21"/>
          <w:szCs w:val="21"/>
          <w14:ligatures w14:val="none"/>
        </w:rPr>
        <w:t>Immediate (3–6 months):</w:t>
      </w:r>
      <w:r w:rsidRPr="004B25EF">
        <w:rPr>
          <w:rFonts w:ascii="Segoe UI" w:eastAsia="Times New Roman" w:hAnsi="Segoe UI" w:cs="Segoe UI"/>
          <w:kern w:val="0"/>
          <w:sz w:val="21"/>
          <w:szCs w:val="21"/>
          <w14:ligatures w14:val="none"/>
        </w:rPr>
        <w:t xml:space="preserve"> One opportunity is to </w:t>
      </w:r>
      <w:r w:rsidRPr="004B25EF">
        <w:rPr>
          <w:rFonts w:ascii="Segoe UI" w:eastAsia="Times New Roman" w:hAnsi="Segoe UI" w:cs="Segoe UI"/>
          <w:b/>
          <w:bCs/>
          <w:kern w:val="0"/>
          <w:sz w:val="21"/>
          <w:szCs w:val="21"/>
          <w14:ligatures w14:val="none"/>
        </w:rPr>
        <w:t>accelerate AI integration in customer support and workflows</w:t>
      </w:r>
      <w:r w:rsidRPr="004B25EF">
        <w:rPr>
          <w:rFonts w:ascii="Segoe UI" w:eastAsia="Times New Roman" w:hAnsi="Segoe UI" w:cs="Segoe UI"/>
          <w:kern w:val="0"/>
          <w:sz w:val="21"/>
          <w:szCs w:val="21"/>
          <w14:ligatures w14:val="none"/>
        </w:rPr>
        <w:t xml:space="preserve">. TR could roll out the AI chatbot (which they likely have in limited use) more broadly across all customer support sites, making responses faster and 24/7. Also, deploying an internal generative AI assistant (akin to </w:t>
      </w:r>
      <w:proofErr w:type="spellStart"/>
      <w:r w:rsidRPr="004B25EF">
        <w:rPr>
          <w:rFonts w:ascii="Segoe UI" w:eastAsia="Times New Roman" w:hAnsi="Segoe UI" w:cs="Segoe UI"/>
          <w:kern w:val="0"/>
          <w:sz w:val="21"/>
          <w:szCs w:val="21"/>
          <w14:ligatures w14:val="none"/>
        </w:rPr>
        <w:t>CoCounsel</w:t>
      </w:r>
      <w:proofErr w:type="spellEnd"/>
      <w:r w:rsidRPr="004B25EF">
        <w:rPr>
          <w:rFonts w:ascii="Segoe UI" w:eastAsia="Times New Roman" w:hAnsi="Segoe UI" w:cs="Segoe UI"/>
          <w:kern w:val="0"/>
          <w:sz w:val="21"/>
          <w:szCs w:val="21"/>
          <w14:ligatures w14:val="none"/>
        </w:rPr>
        <w:t xml:space="preserve"> but internally for employees) could help staff draft reports, write code, or summarize long documents, boosting productivity quickly. </w:t>
      </w:r>
      <w:r w:rsidRPr="004B25EF">
        <w:rPr>
          <w:rFonts w:ascii="Segoe UI" w:eastAsia="Times New Roman" w:hAnsi="Segoe UI" w:cs="Segoe UI"/>
          <w:b/>
          <w:bCs/>
          <w:kern w:val="0"/>
          <w:sz w:val="21"/>
          <w:szCs w:val="21"/>
          <w14:ligatures w14:val="none"/>
        </w:rPr>
        <w:t>Short-term:</w:t>
      </w:r>
      <w:r w:rsidRPr="004B25EF">
        <w:rPr>
          <w:rFonts w:ascii="Segoe UI" w:eastAsia="Times New Roman" w:hAnsi="Segoe UI" w:cs="Segoe UI"/>
          <w:kern w:val="0"/>
          <w:sz w:val="21"/>
          <w:szCs w:val="21"/>
          <w14:ligatures w14:val="none"/>
        </w:rPr>
        <w:t xml:space="preserve"> Another opportunity is to </w:t>
      </w:r>
      <w:proofErr w:type="gramStart"/>
      <w:r w:rsidRPr="004B25EF">
        <w:rPr>
          <w:rFonts w:ascii="Segoe UI" w:eastAsia="Times New Roman" w:hAnsi="Segoe UI" w:cs="Segoe UI"/>
          <w:b/>
          <w:bCs/>
          <w:kern w:val="0"/>
          <w:sz w:val="21"/>
          <w:szCs w:val="21"/>
          <w14:ligatures w14:val="none"/>
        </w:rPr>
        <w:t>open up</w:t>
      </w:r>
      <w:proofErr w:type="gramEnd"/>
      <w:r w:rsidRPr="004B25EF">
        <w:rPr>
          <w:rFonts w:ascii="Segoe UI" w:eastAsia="Times New Roman" w:hAnsi="Segoe UI" w:cs="Segoe UI"/>
          <w:b/>
          <w:bCs/>
          <w:kern w:val="0"/>
          <w:sz w:val="21"/>
          <w:szCs w:val="21"/>
          <w14:ligatures w14:val="none"/>
        </w:rPr>
        <w:t xml:space="preserve"> TR’s AI capabilities via API or platform</w:t>
      </w:r>
      <w:r w:rsidRPr="004B25EF">
        <w:rPr>
          <w:rFonts w:ascii="Segoe UI" w:eastAsia="Times New Roman" w:hAnsi="Segoe UI" w:cs="Segoe UI"/>
          <w:kern w:val="0"/>
          <w:sz w:val="21"/>
          <w:szCs w:val="21"/>
          <w14:ligatures w14:val="none"/>
        </w:rPr>
        <w:t xml:space="preserve"> to customers. For example, allow law firm clients to feed their own documents into TR’s AI engine for analysis, essentially providing AI-as-a-service on top of TR’s models (somewhat like a custom </w:t>
      </w:r>
      <w:proofErr w:type="spellStart"/>
      <w:r w:rsidRPr="004B25EF">
        <w:rPr>
          <w:rFonts w:ascii="Segoe UI" w:eastAsia="Times New Roman" w:hAnsi="Segoe UI" w:cs="Segoe UI"/>
          <w:kern w:val="0"/>
          <w:sz w:val="21"/>
          <w:szCs w:val="21"/>
          <w14:ligatures w14:val="none"/>
        </w:rPr>
        <w:t>CoCounsel</w:t>
      </w:r>
      <w:proofErr w:type="spellEnd"/>
      <w:r w:rsidRPr="004B25EF">
        <w:rPr>
          <w:rFonts w:ascii="Segoe UI" w:eastAsia="Times New Roman" w:hAnsi="Segoe UI" w:cs="Segoe UI"/>
          <w:kern w:val="0"/>
          <w:sz w:val="21"/>
          <w:szCs w:val="21"/>
          <w14:ligatures w14:val="none"/>
        </w:rPr>
        <w:t xml:space="preserve"> for client data). This would deepen customer lock-in and create new revenue streams. </w:t>
      </w:r>
      <w:r w:rsidRPr="004B25EF">
        <w:rPr>
          <w:rFonts w:ascii="Segoe UI" w:eastAsia="Times New Roman" w:hAnsi="Segoe UI" w:cs="Segoe UI"/>
          <w:b/>
          <w:bCs/>
          <w:kern w:val="0"/>
          <w:sz w:val="21"/>
          <w:szCs w:val="21"/>
          <w14:ligatures w14:val="none"/>
        </w:rPr>
        <w:t>Medium-term (6–18 months):</w:t>
      </w:r>
      <w:r w:rsidRPr="004B25EF">
        <w:rPr>
          <w:rFonts w:ascii="Segoe UI" w:eastAsia="Times New Roman" w:hAnsi="Segoe UI" w:cs="Segoe UI"/>
          <w:kern w:val="0"/>
          <w:sz w:val="21"/>
          <w:szCs w:val="21"/>
          <w14:ligatures w14:val="none"/>
        </w:rPr>
        <w:t xml:space="preserve"> Thomson Reuters can expand AI to new domains: perhaps develop AI solutions for </w:t>
      </w:r>
      <w:r w:rsidRPr="004B25EF">
        <w:rPr>
          <w:rFonts w:ascii="Segoe UI" w:eastAsia="Times New Roman" w:hAnsi="Segoe UI" w:cs="Segoe UI"/>
          <w:b/>
          <w:bCs/>
          <w:kern w:val="0"/>
          <w:sz w:val="21"/>
          <w:szCs w:val="21"/>
          <w14:ligatures w14:val="none"/>
        </w:rPr>
        <w:t>compliance and risk</w:t>
      </w:r>
      <w:r w:rsidRPr="004B25EF">
        <w:rPr>
          <w:rFonts w:ascii="Segoe UI" w:eastAsia="Times New Roman" w:hAnsi="Segoe UI" w:cs="Segoe UI"/>
          <w:kern w:val="0"/>
          <w:sz w:val="21"/>
          <w:szCs w:val="21"/>
          <w14:ligatures w14:val="none"/>
        </w:rPr>
        <w:t xml:space="preserve"> (an AI that reads new regulations and alerts companies on actions to take) or for </w:t>
      </w:r>
      <w:r w:rsidRPr="004B25EF">
        <w:rPr>
          <w:rFonts w:ascii="Segoe UI" w:eastAsia="Times New Roman" w:hAnsi="Segoe UI" w:cs="Segoe UI"/>
          <w:b/>
          <w:bCs/>
          <w:kern w:val="0"/>
          <w:sz w:val="21"/>
          <w:szCs w:val="21"/>
          <w14:ligatures w14:val="none"/>
        </w:rPr>
        <w:t>media verification</w:t>
      </w:r>
      <w:r w:rsidRPr="004B25EF">
        <w:rPr>
          <w:rFonts w:ascii="Segoe UI" w:eastAsia="Times New Roman" w:hAnsi="Segoe UI" w:cs="Segoe UI"/>
          <w:kern w:val="0"/>
          <w:sz w:val="21"/>
          <w:szCs w:val="21"/>
          <w14:ligatures w14:val="none"/>
        </w:rPr>
        <w:t xml:space="preserve"> (Reuters could use AI to detect deepfakes or misinformation as part of its news service). On the automation front, medium-term would involve </w:t>
      </w:r>
      <w:proofErr w:type="spellStart"/>
      <w:r w:rsidRPr="004B25EF">
        <w:rPr>
          <w:rFonts w:ascii="Segoe UI" w:eastAsia="Times New Roman" w:hAnsi="Segoe UI" w:cs="Segoe UI"/>
          <w:b/>
          <w:bCs/>
          <w:kern w:val="0"/>
          <w:sz w:val="21"/>
          <w:szCs w:val="21"/>
          <w14:ligatures w14:val="none"/>
        </w:rPr>
        <w:t>hyperautomation</w:t>
      </w:r>
      <w:proofErr w:type="spellEnd"/>
      <w:r w:rsidRPr="004B25EF">
        <w:rPr>
          <w:rFonts w:ascii="Segoe UI" w:eastAsia="Times New Roman" w:hAnsi="Segoe UI" w:cs="Segoe UI"/>
          <w:kern w:val="0"/>
          <w:sz w:val="21"/>
          <w:szCs w:val="21"/>
          <w14:ligatures w14:val="none"/>
        </w:rPr>
        <w:t xml:space="preserve">: combining AI, RPA, and process mining to continuously identify and automate complex workflows end-to-end. The company could aim to automate, say, the entire contract lifecycle – from initial drafting (AI) to approval routing (workflow automation) to execution and analysis (AI again). </w:t>
      </w:r>
      <w:r w:rsidRPr="004B25EF">
        <w:rPr>
          <w:rFonts w:ascii="Segoe UI" w:eastAsia="Times New Roman" w:hAnsi="Segoe UI" w:cs="Segoe UI"/>
          <w:b/>
          <w:bCs/>
          <w:kern w:val="0"/>
          <w:sz w:val="21"/>
          <w:szCs w:val="21"/>
          <w14:ligatures w14:val="none"/>
        </w:rPr>
        <w:t>Long-term (18–36 months):</w:t>
      </w:r>
      <w:r w:rsidRPr="004B25EF">
        <w:rPr>
          <w:rFonts w:ascii="Segoe UI" w:eastAsia="Times New Roman" w:hAnsi="Segoe UI" w:cs="Segoe UI"/>
          <w:kern w:val="0"/>
          <w:sz w:val="21"/>
          <w:szCs w:val="21"/>
          <w14:ligatures w14:val="none"/>
        </w:rPr>
        <w:t xml:space="preserve"> A bold opportunity is positioning Thomson Reuters as the </w:t>
      </w:r>
      <w:r w:rsidRPr="004B25EF">
        <w:rPr>
          <w:rFonts w:ascii="Segoe UI" w:eastAsia="Times New Roman" w:hAnsi="Segoe UI" w:cs="Segoe UI"/>
          <w:b/>
          <w:bCs/>
          <w:kern w:val="0"/>
          <w:sz w:val="21"/>
          <w:szCs w:val="21"/>
          <w14:ligatures w14:val="none"/>
        </w:rPr>
        <w:t>leader in “Professional AI”</w:t>
      </w:r>
      <w:r w:rsidRPr="004B25EF">
        <w:rPr>
          <w:rFonts w:ascii="Segoe UI" w:eastAsia="Times New Roman" w:hAnsi="Segoe UI" w:cs="Segoe UI"/>
          <w:kern w:val="0"/>
          <w:sz w:val="21"/>
          <w:szCs w:val="21"/>
          <w14:ligatures w14:val="none"/>
        </w:rPr>
        <w:t xml:space="preserve"> standard-setting. This could mean driving industry coalitions on AI ethics in law and tax, contributing to policy, and developing an AI certification or quality mark that becomes sought after (leveraging its trusted brand – akin to “Thomson Reuters AI verified” stamp on solutions). Technologically, long-term the company might work on </w:t>
      </w:r>
      <w:r w:rsidRPr="004B25EF">
        <w:rPr>
          <w:rFonts w:ascii="Segoe UI" w:eastAsia="Times New Roman" w:hAnsi="Segoe UI" w:cs="Segoe UI"/>
          <w:b/>
          <w:bCs/>
          <w:kern w:val="0"/>
          <w:sz w:val="21"/>
          <w:szCs w:val="21"/>
          <w14:ligatures w14:val="none"/>
        </w:rPr>
        <w:t>proprietary large language models</w:t>
      </w:r>
      <w:r w:rsidRPr="004B25EF">
        <w:rPr>
          <w:rFonts w:ascii="Segoe UI" w:eastAsia="Times New Roman" w:hAnsi="Segoe UI" w:cs="Segoe UI"/>
          <w:kern w:val="0"/>
          <w:sz w:val="21"/>
          <w:szCs w:val="21"/>
          <w14:ligatures w14:val="none"/>
        </w:rPr>
        <w:t xml:space="preserve"> trained specifically on its unique content, to reduce reliance on third-party AI (ensuring more control and potentially a data moat). These models could power an entire generation of products that are deeply integrated – imagine a “virtual expert” that a customer subscribes to, which can advise on legal, tax, or news queries interchangeably because it has digested all of TR’s knowledge base. Also long-term, TR could amplify </w:t>
      </w:r>
      <w:r w:rsidRPr="004B25EF">
        <w:rPr>
          <w:rFonts w:ascii="Segoe UI" w:eastAsia="Times New Roman" w:hAnsi="Segoe UI" w:cs="Segoe UI"/>
          <w:b/>
          <w:bCs/>
          <w:kern w:val="0"/>
          <w:sz w:val="21"/>
          <w:szCs w:val="21"/>
          <w14:ligatures w14:val="none"/>
        </w:rPr>
        <w:t>AI in decision-making</w:t>
      </w:r>
      <w:r w:rsidRPr="004B25EF">
        <w:rPr>
          <w:rFonts w:ascii="Segoe UI" w:eastAsia="Times New Roman" w:hAnsi="Segoe UI" w:cs="Segoe UI"/>
          <w:kern w:val="0"/>
          <w:sz w:val="21"/>
          <w:szCs w:val="21"/>
          <w14:ligatures w14:val="none"/>
        </w:rPr>
        <w:t xml:space="preserve"> internally by implementing AI in strategic planning tools (like scenario simulations for market trends, using AI to model outcomes). Another forward-looking area is </w:t>
      </w:r>
      <w:r w:rsidRPr="004B25EF">
        <w:rPr>
          <w:rFonts w:ascii="Segoe UI" w:eastAsia="Times New Roman" w:hAnsi="Segoe UI" w:cs="Segoe UI"/>
          <w:b/>
          <w:bCs/>
          <w:kern w:val="0"/>
          <w:sz w:val="21"/>
          <w:szCs w:val="21"/>
          <w14:ligatures w14:val="none"/>
        </w:rPr>
        <w:t>robotic automation beyond software</w:t>
      </w:r>
      <w:r w:rsidRPr="004B25EF">
        <w:rPr>
          <w:rFonts w:ascii="Segoe UI" w:eastAsia="Times New Roman" w:hAnsi="Segoe UI" w:cs="Segoe UI"/>
          <w:kern w:val="0"/>
          <w:sz w:val="21"/>
          <w:szCs w:val="21"/>
          <w14:ligatures w14:val="none"/>
        </w:rPr>
        <w:t xml:space="preserve"> – perhaps in Reuters News, using drones or robotics for gathering news data in hazardous areas, though that’s more niche. Broadly, continuing to push AI boundaries while others catch up will be critical; maintaining the first-mover advantage in professional AI solutions will require constant innovation and user feedback loops to fine-tune the tools. </w:t>
      </w:r>
    </w:p>
    <w:p w14:paraId="1FB2218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lastRenderedPageBreak/>
        <w:t>Information Gaps &amp; Research Recommendations:</w:t>
      </w:r>
      <w:r w:rsidRPr="004B25EF">
        <w:rPr>
          <w:rFonts w:ascii="Segoe UI" w:eastAsia="Times New Roman" w:hAnsi="Segoe UI" w:cs="Segoe UI"/>
          <w:kern w:val="0"/>
          <w:sz w:val="21"/>
          <w:szCs w:val="21"/>
          <w14:ligatures w14:val="none"/>
        </w:rPr>
        <w:t xml:space="preserve"> Despite the wealth of information, some areas need further clarity. We should gather specific data on </w:t>
      </w:r>
      <w:r w:rsidRPr="004B25EF">
        <w:rPr>
          <w:rFonts w:ascii="Segoe UI" w:eastAsia="Times New Roman" w:hAnsi="Segoe UI" w:cs="Segoe UI"/>
          <w:b/>
          <w:bCs/>
          <w:kern w:val="0"/>
          <w:sz w:val="21"/>
          <w:szCs w:val="21"/>
          <w14:ligatures w14:val="none"/>
        </w:rPr>
        <w:t>AI-driven ROI</w:t>
      </w:r>
      <w:r w:rsidRPr="004B25EF">
        <w:rPr>
          <w:rFonts w:ascii="Segoe UI" w:eastAsia="Times New Roman" w:hAnsi="Segoe UI" w:cs="Segoe UI"/>
          <w:kern w:val="0"/>
          <w:sz w:val="21"/>
          <w:szCs w:val="21"/>
          <w14:ligatures w14:val="none"/>
        </w:rPr>
        <w:t xml:space="preserve">: how much revenue have the new AI features generated or how much cost saved via automation? While some qualitative wins are noted, a quantitative business case evaluation would help justify ongoing investments. For instance, tracking the customer retention or acquisition attributable to AI features vs. traditional features would be insightful. Another gap is the </w:t>
      </w:r>
      <w:r w:rsidRPr="004B25EF">
        <w:rPr>
          <w:rFonts w:ascii="Segoe UI" w:eastAsia="Times New Roman" w:hAnsi="Segoe UI" w:cs="Segoe UI"/>
          <w:b/>
          <w:bCs/>
          <w:kern w:val="0"/>
          <w:sz w:val="21"/>
          <w:szCs w:val="21"/>
          <w14:ligatures w14:val="none"/>
        </w:rPr>
        <w:t>long-term impact on the workforce</w:t>
      </w:r>
      <w:r w:rsidRPr="004B25EF">
        <w:rPr>
          <w:rFonts w:ascii="Segoe UI" w:eastAsia="Times New Roman" w:hAnsi="Segoe UI" w:cs="Segoe UI"/>
          <w:kern w:val="0"/>
          <w:sz w:val="21"/>
          <w:szCs w:val="21"/>
          <w14:ligatures w14:val="none"/>
        </w:rPr>
        <w:t xml:space="preserve">: it’s early, but are there indications that roles are evolving significantly? HR might have done analyses on how job descriptions are </w:t>
      </w:r>
      <w:proofErr w:type="gramStart"/>
      <w:r w:rsidRPr="004B25EF">
        <w:rPr>
          <w:rFonts w:ascii="Segoe UI" w:eastAsia="Times New Roman" w:hAnsi="Segoe UI" w:cs="Segoe UI"/>
          <w:kern w:val="0"/>
          <w:sz w:val="21"/>
          <w:szCs w:val="21"/>
          <w14:ligatures w14:val="none"/>
        </w:rPr>
        <w:t>changing</w:t>
      </w:r>
      <w:proofErr w:type="gramEnd"/>
      <w:r w:rsidRPr="004B25EF">
        <w:rPr>
          <w:rFonts w:ascii="Segoe UI" w:eastAsia="Times New Roman" w:hAnsi="Segoe UI" w:cs="Segoe UI"/>
          <w:kern w:val="0"/>
          <w:sz w:val="21"/>
          <w:szCs w:val="21"/>
          <w14:ligatures w14:val="none"/>
        </w:rPr>
        <w:t xml:space="preserve"> or which skills are becoming more/less important due to AI – this would inform training and hiring plans. It’s also worth researching </w:t>
      </w:r>
      <w:r w:rsidRPr="004B25EF">
        <w:rPr>
          <w:rFonts w:ascii="Segoe UI" w:eastAsia="Times New Roman" w:hAnsi="Segoe UI" w:cs="Segoe UI"/>
          <w:b/>
          <w:bCs/>
          <w:kern w:val="0"/>
          <w:sz w:val="21"/>
          <w:szCs w:val="21"/>
          <w14:ligatures w14:val="none"/>
        </w:rPr>
        <w:t>customer perception of TR’s AI</w:t>
      </w:r>
      <w:r w:rsidRPr="004B25EF">
        <w:rPr>
          <w:rFonts w:ascii="Segoe UI" w:eastAsia="Times New Roman" w:hAnsi="Segoe UI" w:cs="Segoe UI"/>
          <w:kern w:val="0"/>
          <w:sz w:val="21"/>
          <w:szCs w:val="21"/>
          <w14:ligatures w14:val="none"/>
        </w:rPr>
        <w:t xml:space="preserve">: do they trust it? Are they wary? Feedback from client advisory boards or surveys could show if TR’s stance as “AI augmenting professionals” resonates, or if more assurance is needed. Additionally, understanding any </w:t>
      </w:r>
      <w:r w:rsidRPr="004B25EF">
        <w:rPr>
          <w:rFonts w:ascii="Segoe UI" w:eastAsia="Times New Roman" w:hAnsi="Segoe UI" w:cs="Segoe UI"/>
          <w:b/>
          <w:bCs/>
          <w:kern w:val="0"/>
          <w:sz w:val="21"/>
          <w:szCs w:val="21"/>
          <w14:ligatures w14:val="none"/>
        </w:rPr>
        <w:t>regulatory or legal limitations</w:t>
      </w:r>
      <w:r w:rsidRPr="004B25EF">
        <w:rPr>
          <w:rFonts w:ascii="Segoe UI" w:eastAsia="Times New Roman" w:hAnsi="Segoe UI" w:cs="Segoe UI"/>
          <w:kern w:val="0"/>
          <w:sz w:val="21"/>
          <w:szCs w:val="21"/>
          <w14:ligatures w14:val="none"/>
        </w:rPr>
        <w:t xml:space="preserve"> emerging around AI use in TR’s domains (for example, some jurisdictions might restrict how AI can be used in legal practice, or require transparency) is important to ensure TR’s strategy is compliant globally. Engaging with the legal counsel on AI compliance or reviewing regulatory watch reports would fill this gap. Finally, a deep-dive into how competitors are leveraging AI (LexisNexis with its own AI tools, Wolters Kluwer, etc.) will identify where TR needs to defend or can leapfrog – a competitive analysis report focused on AI and automation offerings in the legal/tax info market would be valuable. Armed with these insights, Thomson Reuters can continue to refine its AI roadmap to stay ahead and avoid pitfalls (like over-hype or under-delivering on AI promises). </w:t>
      </w:r>
    </w:p>
    <w:p w14:paraId="0FBBE400" w14:textId="77777777" w:rsidR="004B25EF" w:rsidRPr="004B25EF" w:rsidRDefault="004B25EF" w:rsidP="004B25EF">
      <w:pPr>
        <w:spacing w:before="100" w:beforeAutospacing="1" w:after="100" w:afterAutospacing="1" w:line="300" w:lineRule="atLeast"/>
        <w:rPr>
          <w:rFonts w:ascii="Segoe UI" w:eastAsia="Times New Roman" w:hAnsi="Segoe UI" w:cs="Segoe UI"/>
          <w:kern w:val="0"/>
          <w:sz w:val="21"/>
          <w:szCs w:val="21"/>
          <w14:ligatures w14:val="none"/>
        </w:rPr>
      </w:pPr>
      <w:r w:rsidRPr="004B25EF">
        <w:rPr>
          <w:rFonts w:ascii="Segoe UI" w:eastAsia="Times New Roman" w:hAnsi="Segoe UI" w:cs="Segoe UI"/>
          <w:b/>
          <w:bCs/>
          <w:kern w:val="0"/>
          <w:sz w:val="21"/>
          <w:szCs w:val="21"/>
          <w14:ligatures w14:val="none"/>
        </w:rPr>
        <w:t>Transformation Readiness Summary:</w:t>
      </w:r>
      <w:r w:rsidRPr="004B25EF">
        <w:rPr>
          <w:rFonts w:ascii="Segoe UI" w:eastAsia="Times New Roman" w:hAnsi="Segoe UI" w:cs="Segoe UI"/>
          <w:kern w:val="0"/>
          <w:sz w:val="21"/>
          <w:szCs w:val="21"/>
          <w14:ligatures w14:val="none"/>
        </w:rPr>
        <w:t xml:space="preserve"> AI and automation are not futuristic concepts at Thomson Reuters – they are here and now, fueling the company’s transformation. TR has treated AI as a strategic imperative, quickly incorporating it into products, processes, and skill sets. This has positioned the company at the vanguard of its industry in AI adoption. Importantly, TR’s approach balances innovation with responsibility, aligning with its brand of trust. The readiness to deploy and benefit from AI is evident across the enterprise, from the C-suite vision down to individual workflows. As the transformation program continues, AI will act as an accelerator – helping Thomson Reuters reimagine what’s possible in serving professionals, while automation frees resources to focus on creativity and complex problem-solving. In sum, the company is exceptionally well-prepared to leverage AI and automation as key enablers in its end-to-end reimagination journey, turning what could be disruptive threats into a powerful competitive advantage. </w:t>
      </w:r>
    </w:p>
    <w:p w14:paraId="4812E411" w14:textId="0E1DF3CB" w:rsidR="004B25EF" w:rsidRPr="004B25EF" w:rsidRDefault="004B25EF" w:rsidP="004B25EF">
      <w:pPr>
        <w:spacing w:after="0" w:line="300" w:lineRule="atLeast"/>
        <w:rPr>
          <w:rFonts w:ascii="Segoe UI Semibold" w:eastAsia="Times New Roman" w:hAnsi="Segoe UI Semibold" w:cs="Segoe UI Semibold"/>
          <w:b/>
          <w:bCs/>
          <w:kern w:val="0"/>
          <w:sz w:val="18"/>
          <w:szCs w:val="18"/>
          <w14:ligatures w14:val="none"/>
        </w:rPr>
      </w:pPr>
      <w:r w:rsidRPr="004B25EF">
        <w:rPr>
          <w:rFonts w:ascii="Segoe UI Semibold" w:eastAsia="Times New Roman" w:hAnsi="Segoe UI Semibold" w:cs="Segoe UI Semibold"/>
          <w:b/>
          <w:bCs/>
          <w:kern w:val="0"/>
          <w:sz w:val="18"/>
          <w:szCs w:val="18"/>
          <w14:ligatures w14:val="none"/>
        </w:rPr>
        <w:t>References</w:t>
      </w:r>
    </w:p>
    <w:p w14:paraId="17C44C9A"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[1] </w:t>
      </w:r>
      <w:hyperlink r:id="rId137" w:history="1">
        <w:r w:rsidRPr="004B25EF">
          <w:rPr>
            <w:rFonts w:ascii="Segoe UI" w:eastAsia="Times New Roman" w:hAnsi="Segoe UI" w:cs="Segoe UI"/>
            <w:color w:val="464FEB"/>
            <w:kern w:val="0"/>
            <w:sz w:val="21"/>
            <w:szCs w:val="21"/>
            <w14:ligatures w14:val="none"/>
          </w:rPr>
          <w:t>Thomson Reuters Change Program</w:t>
        </w:r>
      </w:hyperlink>
    </w:p>
    <w:p w14:paraId="60BB5D0D"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[2] </w:t>
      </w:r>
      <w:hyperlink r:id="rId138" w:history="1">
        <w:r w:rsidRPr="004B25EF">
          <w:rPr>
            <w:rFonts w:ascii="Segoe UI" w:eastAsia="Times New Roman" w:hAnsi="Segoe UI" w:cs="Segoe UI"/>
            <w:color w:val="464FEB"/>
            <w:kern w:val="0"/>
            <w:sz w:val="21"/>
            <w:szCs w:val="21"/>
            <w14:ligatures w14:val="none"/>
          </w:rPr>
          <w:t>LEAN SIX SIGMA CERTIFICATION EVENT</w:t>
        </w:r>
      </w:hyperlink>
    </w:p>
    <w:p w14:paraId="0EEDA2E7"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[3] </w:t>
      </w:r>
      <w:hyperlink r:id="rId139" w:history="1">
        <w:r w:rsidRPr="004B25EF">
          <w:rPr>
            <w:rFonts w:ascii="Segoe UI" w:eastAsia="Times New Roman" w:hAnsi="Segoe UI" w:cs="Segoe UI"/>
            <w:color w:val="464FEB"/>
            <w:kern w:val="0"/>
            <w:sz w:val="21"/>
            <w:szCs w:val="21"/>
            <w14:ligatures w14:val="none"/>
          </w:rPr>
          <w:t>Q2 2023 Content Ops Townhall June 6, 2023</w:t>
        </w:r>
      </w:hyperlink>
    </w:p>
    <w:p w14:paraId="4D8F2FF7"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[4] </w:t>
      </w:r>
      <w:hyperlink r:id="rId140" w:history="1">
        <w:r w:rsidRPr="004B25EF">
          <w:rPr>
            <w:rFonts w:ascii="Segoe UI" w:eastAsia="Times New Roman" w:hAnsi="Segoe UI" w:cs="Segoe UI"/>
            <w:color w:val="464FEB"/>
            <w:kern w:val="0"/>
            <w:sz w:val="21"/>
            <w:szCs w:val="21"/>
            <w14:ligatures w14:val="none"/>
          </w:rPr>
          <w:t>Content Management Process Improvement</w:t>
        </w:r>
      </w:hyperlink>
    </w:p>
    <w:p w14:paraId="092FEB7A"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[5] </w:t>
      </w:r>
      <w:hyperlink r:id="rId141" w:history="1">
        <w:r w:rsidRPr="004B25EF">
          <w:rPr>
            <w:rFonts w:ascii="Segoe UI" w:eastAsia="Times New Roman" w:hAnsi="Segoe UI" w:cs="Segoe UI"/>
            <w:color w:val="464FEB"/>
            <w:kern w:val="0"/>
            <w:sz w:val="21"/>
            <w:szCs w:val="21"/>
            <w14:ligatures w14:val="none"/>
          </w:rPr>
          <w:t>All Hands.v1</w:t>
        </w:r>
      </w:hyperlink>
    </w:p>
    <w:p w14:paraId="0E696B82"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[6] </w:t>
      </w:r>
      <w:hyperlink r:id="rId142" w:history="1">
        <w:r w:rsidRPr="004B25EF">
          <w:rPr>
            <w:rFonts w:ascii="Segoe UI" w:eastAsia="Times New Roman" w:hAnsi="Segoe UI" w:cs="Segoe UI"/>
            <w:color w:val="464FEB"/>
            <w:kern w:val="0"/>
            <w:sz w:val="21"/>
            <w:szCs w:val="21"/>
            <w14:ligatures w14:val="none"/>
          </w:rPr>
          <w:t>LEAN SIX SIGMA PROGRAM</w:t>
        </w:r>
      </w:hyperlink>
    </w:p>
    <w:p w14:paraId="7D4E18F0"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[7] </w:t>
      </w:r>
      <w:hyperlink r:id="rId143" w:history="1">
        <w:r w:rsidRPr="004B25EF">
          <w:rPr>
            <w:rFonts w:ascii="Segoe UI" w:eastAsia="Times New Roman" w:hAnsi="Segoe UI" w:cs="Segoe UI"/>
            <w:color w:val="464FEB"/>
            <w:kern w:val="0"/>
            <w:sz w:val="21"/>
            <w:szCs w:val="21"/>
            <w14:ligatures w14:val="none"/>
          </w:rPr>
          <w:t>2025 Q2 Town Hall Presentation July 2, 2025</w:t>
        </w:r>
      </w:hyperlink>
    </w:p>
    <w:p w14:paraId="381FB0AA"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[8] </w:t>
      </w:r>
      <w:hyperlink r:id="rId144" w:history="1">
        <w:r w:rsidRPr="004B25EF">
          <w:rPr>
            <w:rFonts w:ascii="Segoe UI" w:eastAsia="Times New Roman" w:hAnsi="Segoe UI" w:cs="Segoe UI"/>
            <w:color w:val="464FEB"/>
            <w:kern w:val="0"/>
            <w:sz w:val="21"/>
            <w:szCs w:val="21"/>
            <w14:ligatures w14:val="none"/>
          </w:rPr>
          <w:t>Streamline Architecture Governance</w:t>
        </w:r>
      </w:hyperlink>
    </w:p>
    <w:p w14:paraId="32C93ECD"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[9] </w:t>
      </w:r>
      <w:hyperlink r:id="rId145" w:history="1">
        <w:r w:rsidRPr="004B25EF">
          <w:rPr>
            <w:rFonts w:ascii="Segoe UI" w:eastAsia="Times New Roman" w:hAnsi="Segoe UI" w:cs="Segoe UI"/>
            <w:color w:val="464FEB"/>
            <w:kern w:val="0"/>
            <w:sz w:val="21"/>
            <w:szCs w:val="21"/>
            <w14:ligatures w14:val="none"/>
          </w:rPr>
          <w:t>2024 _Planning</w:t>
        </w:r>
      </w:hyperlink>
    </w:p>
    <w:p w14:paraId="6D7B1E87" w14:textId="77777777" w:rsidR="004B25EF" w:rsidRPr="004B25EF" w:rsidRDefault="004B25EF" w:rsidP="004B25EF">
      <w:pPr>
        <w:spacing w:after="0" w:line="300" w:lineRule="atLeast"/>
        <w:rPr>
          <w:rFonts w:ascii="Segoe UI" w:eastAsia="Times New Roman" w:hAnsi="Segoe UI" w:cs="Segoe UI"/>
          <w:kern w:val="0"/>
          <w:sz w:val="21"/>
          <w:szCs w:val="21"/>
          <w14:ligatures w14:val="none"/>
        </w:rPr>
      </w:pPr>
      <w:r w:rsidRPr="004B25EF">
        <w:rPr>
          <w:rFonts w:ascii="Segoe UI" w:eastAsia="Times New Roman" w:hAnsi="Segoe UI" w:cs="Segoe UI"/>
          <w:kern w:val="0"/>
          <w:sz w:val="21"/>
          <w:szCs w:val="21"/>
          <w14:ligatures w14:val="none"/>
        </w:rPr>
        <w:t xml:space="preserve">[10] </w:t>
      </w:r>
      <w:hyperlink r:id="rId146" w:history="1">
        <w:r w:rsidRPr="004B25EF">
          <w:rPr>
            <w:rFonts w:ascii="Segoe UI" w:eastAsia="Times New Roman" w:hAnsi="Segoe UI" w:cs="Segoe UI"/>
            <w:color w:val="464FEB"/>
            <w:kern w:val="0"/>
            <w:sz w:val="21"/>
            <w:szCs w:val="21"/>
            <w14:ligatures w14:val="none"/>
          </w:rPr>
          <w:t>Thomson Reuters unveils generative AI strategy designed to transform ...</w:t>
        </w:r>
      </w:hyperlink>
    </w:p>
    <w:p w14:paraId="6C325DF5" w14:textId="77777777" w:rsidR="004B25EF" w:rsidRDefault="004B25EF"/>
    <w:p w14:paraId="202C15AB" w14:textId="77777777" w:rsidR="002154B0" w:rsidRPr="002154B0" w:rsidRDefault="002154B0" w:rsidP="002154B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154B0">
        <w:rPr>
          <w:rFonts w:ascii="Segoe UI" w:eastAsia="Times New Roman" w:hAnsi="Segoe UI" w:cs="Segoe UI"/>
          <w:b/>
          <w:bCs/>
          <w:kern w:val="0"/>
          <w:sz w:val="36"/>
          <w:szCs w:val="36"/>
          <w14:ligatures w14:val="none"/>
        </w:rPr>
        <w:t>CUSTOMER EXPERIENCE &amp; SERVICE DELIVERY TRANSFORMATION</w:t>
      </w:r>
    </w:p>
    <w:p w14:paraId="56480036"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Assessment:</w:t>
      </w:r>
      <w:r w:rsidRPr="002154B0">
        <w:rPr>
          <w:rFonts w:ascii="Segoe UI" w:eastAsia="Times New Roman" w:hAnsi="Segoe UI" w:cs="Segoe UI"/>
          <w:kern w:val="0"/>
          <w:sz w:val="21"/>
          <w:szCs w:val="21"/>
          <w14:ligatures w14:val="none"/>
        </w:rPr>
        <w:t xml:space="preserve"> Thomson Reuters has made significant strides in enhancing customer experience and service delivery, reflecting a strong commitment to customer-centricity, though with ongoing work to fully unify and personalize the experience (Rating: </w:t>
      </w:r>
      <w:r w:rsidRPr="002154B0">
        <w:rPr>
          <w:rFonts w:ascii="Segoe UI" w:eastAsia="Times New Roman" w:hAnsi="Segoe UI" w:cs="Segoe UI"/>
          <w:b/>
          <w:bCs/>
          <w:kern w:val="0"/>
          <w:sz w:val="21"/>
          <w:szCs w:val="21"/>
          <w14:ligatures w14:val="none"/>
        </w:rPr>
        <w:t>4/5</w:t>
      </w:r>
      <w:r w:rsidRPr="002154B0">
        <w:rPr>
          <w:rFonts w:ascii="Segoe UI" w:eastAsia="Times New Roman" w:hAnsi="Segoe UI" w:cs="Segoe UI"/>
          <w:kern w:val="0"/>
          <w:sz w:val="21"/>
          <w:szCs w:val="21"/>
          <w14:ligatures w14:val="none"/>
        </w:rPr>
        <w:t xml:space="preserve">). Over the past couple of years, the company shifted from a product-centric approach to an </w:t>
      </w:r>
      <w:r w:rsidRPr="002154B0">
        <w:rPr>
          <w:rFonts w:ascii="Segoe UI" w:eastAsia="Times New Roman" w:hAnsi="Segoe UI" w:cs="Segoe UI"/>
          <w:b/>
          <w:bCs/>
          <w:kern w:val="0"/>
          <w:sz w:val="21"/>
          <w:szCs w:val="21"/>
          <w14:ligatures w14:val="none"/>
        </w:rPr>
        <w:t>end-to-end customer journey focus</w:t>
      </w:r>
      <w:r w:rsidRPr="002154B0">
        <w:rPr>
          <w:rFonts w:ascii="Segoe UI" w:eastAsia="Times New Roman" w:hAnsi="Segoe UI" w:cs="Segoe UI"/>
          <w:kern w:val="0"/>
          <w:sz w:val="21"/>
          <w:szCs w:val="21"/>
          <w14:ligatures w14:val="none"/>
        </w:rPr>
        <w:t xml:space="preserve">, simplifying how customers </w:t>
      </w:r>
      <w:r w:rsidRPr="002154B0">
        <w:rPr>
          <w:rFonts w:ascii="Segoe UI" w:eastAsia="Times New Roman" w:hAnsi="Segoe UI" w:cs="Segoe UI"/>
          <w:kern w:val="0"/>
          <w:sz w:val="21"/>
          <w:szCs w:val="21"/>
          <w14:ligatures w14:val="none"/>
        </w:rPr>
        <w:lastRenderedPageBreak/>
        <w:t xml:space="preserve">discover, purchase, and receive support for its solutions. Key improvements include a robust </w:t>
      </w:r>
      <w:r w:rsidRPr="002154B0">
        <w:rPr>
          <w:rFonts w:ascii="Segoe UI" w:eastAsia="Times New Roman" w:hAnsi="Segoe UI" w:cs="Segoe UI"/>
          <w:b/>
          <w:bCs/>
          <w:kern w:val="0"/>
          <w:sz w:val="21"/>
          <w:szCs w:val="21"/>
          <w14:ligatures w14:val="none"/>
        </w:rPr>
        <w:t>digital sales and self-service infrastructure</w:t>
      </w:r>
      <w:r w:rsidRPr="002154B0">
        <w:rPr>
          <w:rFonts w:ascii="Segoe UI" w:eastAsia="Times New Roman" w:hAnsi="Segoe UI" w:cs="Segoe UI"/>
          <w:kern w:val="0"/>
          <w:sz w:val="21"/>
          <w:szCs w:val="21"/>
          <w14:ligatures w14:val="none"/>
        </w:rPr>
        <w:t xml:space="preserve"> for small and mid-size clients, resulting in increased online purchases and customer autonomy. Additionally, Thomson Reuters invested in streamlining support, implementing unified global service centers and intelligent chatbots that have already improved first-contact resolution rates. These efforts demonstrate high readiness – the company actively redesigns touchpoints to be more intuitive and responsive. The remaining gap (hence 4/5) is the need to further integrate the experience across all products and segments so that customers with multi-product subscriptions feel they are dealing with one seamless platform. Fully leveraging data for personalization and ensuring consistently high service levels across regions are areas to continue developing. </w:t>
      </w:r>
    </w:p>
    <w:p w14:paraId="233CEF36"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Key Internal Findings:</w:t>
      </w:r>
      <w:r w:rsidRPr="002154B0">
        <w:rPr>
          <w:rFonts w:ascii="Segoe UI" w:eastAsia="Times New Roman" w:hAnsi="Segoe UI" w:cs="Segoe UI"/>
          <w:kern w:val="0"/>
          <w:sz w:val="21"/>
          <w:szCs w:val="21"/>
          <w14:ligatures w14:val="none"/>
        </w:rPr>
        <w:t xml:space="preserve"> Historically, customer interactions with Thomson Reuters were fragmented – a law firm subscribing to Westlaw and ONESOURCE might have dealt with separate sales reps, different billing systems, and multiple support teams. The Change Program identified this pain point and emphasized </w:t>
      </w:r>
      <w:r w:rsidRPr="002154B0">
        <w:rPr>
          <w:rFonts w:ascii="Segoe UI" w:eastAsia="Times New Roman" w:hAnsi="Segoe UI" w:cs="Segoe UI"/>
          <w:b/>
          <w:bCs/>
          <w:kern w:val="0"/>
          <w:sz w:val="21"/>
          <w:szCs w:val="21"/>
          <w14:ligatures w14:val="none"/>
        </w:rPr>
        <w:t>unifying the customer experience across products</w:t>
      </w:r>
      <w:r w:rsidRPr="002154B0">
        <w:rPr>
          <w:rFonts w:ascii="Segoe UI" w:eastAsia="Times New Roman" w:hAnsi="Segoe UI" w:cs="Segoe UI"/>
          <w:kern w:val="0"/>
          <w:sz w:val="21"/>
          <w:szCs w:val="21"/>
          <w14:ligatures w14:val="none"/>
        </w:rPr>
        <w:t xml:space="preserve">. A major finding was that many small-to-medium customers prefer self-service options. In response, Thomson Reuters launched enhanced e-commerce portals for products like Practical Law and Checkpoint, enabling clients to </w:t>
      </w:r>
      <w:r w:rsidRPr="002154B0">
        <w:rPr>
          <w:rFonts w:ascii="Segoe UI" w:eastAsia="Times New Roman" w:hAnsi="Segoe UI" w:cs="Segoe UI"/>
          <w:b/>
          <w:bCs/>
          <w:kern w:val="0"/>
          <w:sz w:val="21"/>
          <w:szCs w:val="21"/>
          <w14:ligatures w14:val="none"/>
        </w:rPr>
        <w:t>trial, purchase, and renew services online</w:t>
      </w:r>
      <w:r w:rsidRPr="002154B0">
        <w:rPr>
          <w:rFonts w:ascii="Segoe UI" w:eastAsia="Times New Roman" w:hAnsi="Segoe UI" w:cs="Segoe UI"/>
          <w:kern w:val="0"/>
          <w:sz w:val="21"/>
          <w:szCs w:val="21"/>
          <w14:ligatures w14:val="none"/>
        </w:rPr>
        <w:t xml:space="preserve"> without needing direct sales intervention. By 2023, these digital channels contributed a growing portion of new sales (internal reports show double-digit percentage increases in online sales volumes). For larger enterprise clients, the account management process was overhauled to provide a </w:t>
      </w:r>
      <w:r w:rsidRPr="002154B0">
        <w:rPr>
          <w:rFonts w:ascii="Segoe UI" w:eastAsia="Times New Roman" w:hAnsi="Segoe UI" w:cs="Segoe UI"/>
          <w:b/>
          <w:bCs/>
          <w:kern w:val="0"/>
          <w:sz w:val="21"/>
          <w:szCs w:val="21"/>
          <w14:ligatures w14:val="none"/>
        </w:rPr>
        <w:t>“one Thomson Reuters” experience</w:t>
      </w:r>
      <w:r w:rsidRPr="002154B0">
        <w:rPr>
          <w:rFonts w:ascii="Segoe UI" w:eastAsia="Times New Roman" w:hAnsi="Segoe UI" w:cs="Segoe UI"/>
          <w:kern w:val="0"/>
          <w:sz w:val="21"/>
          <w:szCs w:val="21"/>
          <w14:ligatures w14:val="none"/>
        </w:rPr>
        <w:t xml:space="preserve"> – cross-product account teams were created so that a corporate customer has a single point of contact for all TR offerings, rather than siloed communications. On the service delivery side, the company consolidated over 50+ disparate support centers into a few </w:t>
      </w:r>
      <w:r w:rsidRPr="002154B0">
        <w:rPr>
          <w:rFonts w:ascii="Segoe UI" w:eastAsia="Times New Roman" w:hAnsi="Segoe UI" w:cs="Segoe UI"/>
          <w:b/>
          <w:bCs/>
          <w:kern w:val="0"/>
          <w:sz w:val="21"/>
          <w:szCs w:val="21"/>
          <w14:ligatures w14:val="none"/>
        </w:rPr>
        <w:t>Global Customer Support Centers</w:t>
      </w:r>
      <w:r w:rsidRPr="002154B0">
        <w:rPr>
          <w:rFonts w:ascii="Segoe UI" w:eastAsia="Times New Roman" w:hAnsi="Segoe UI" w:cs="Segoe UI"/>
          <w:kern w:val="0"/>
          <w:sz w:val="21"/>
          <w:szCs w:val="21"/>
          <w14:ligatures w14:val="none"/>
        </w:rPr>
        <w:t xml:space="preserve"> with standardized processes. This consolidation, paired with a common CRM system, means a customer inquiry can be tracked and resolved more efficiently, regardless of which product it’s about. Another key finding: Thomson Reuters implemented a </w:t>
      </w:r>
      <w:r w:rsidRPr="002154B0">
        <w:rPr>
          <w:rFonts w:ascii="Segoe UI" w:eastAsia="Times New Roman" w:hAnsi="Segoe UI" w:cs="Segoe UI"/>
          <w:b/>
          <w:bCs/>
          <w:kern w:val="0"/>
          <w:sz w:val="21"/>
          <w:szCs w:val="21"/>
          <w14:ligatures w14:val="none"/>
        </w:rPr>
        <w:t>unified login system</w:t>
      </w:r>
      <w:r w:rsidRPr="002154B0">
        <w:rPr>
          <w:rFonts w:ascii="Segoe UI" w:eastAsia="Times New Roman" w:hAnsi="Segoe UI" w:cs="Segoe UI"/>
          <w:kern w:val="0"/>
          <w:sz w:val="21"/>
          <w:szCs w:val="21"/>
          <w14:ligatures w14:val="none"/>
        </w:rPr>
        <w:t xml:space="preserve"> (the “Thomson Reuters Account”), so customers now use one set of credentials across all TR platforms</w:t>
      </w:r>
      <w:hyperlink r:id="rId147" w:history="1">
        <w:r w:rsidRPr="002154B0">
          <w:rPr>
            <w:rFonts w:ascii="Segoe UI" w:eastAsia="Times New Roman" w:hAnsi="Segoe UI" w:cs="Segoe UI"/>
            <w:color w:val="464FEB"/>
            <w:kern w:val="0"/>
            <w:sz w:val="21"/>
            <w:szCs w:val="21"/>
            <w14:ligatures w14:val="none"/>
          </w:rPr>
          <w:t>[1]</w:t>
        </w:r>
      </w:hyperlink>
      <w:r w:rsidRPr="002154B0">
        <w:rPr>
          <w:rFonts w:ascii="Segoe UI" w:eastAsia="Times New Roman" w:hAnsi="Segoe UI" w:cs="Segoe UI"/>
          <w:kern w:val="0"/>
          <w:sz w:val="21"/>
          <w:szCs w:val="21"/>
          <w14:ligatures w14:val="none"/>
        </w:rPr>
        <w:t>. This reduced login-related support tickets by ~30%, eliminating a frequent source of frustration for users</w:t>
      </w:r>
      <w:hyperlink r:id="rId148" w:history="1">
        <w:r w:rsidRPr="002154B0">
          <w:rPr>
            <w:rFonts w:ascii="Segoe UI" w:eastAsia="Times New Roman" w:hAnsi="Segoe UI" w:cs="Segoe UI"/>
            <w:color w:val="464FEB"/>
            <w:kern w:val="0"/>
            <w:sz w:val="21"/>
            <w:szCs w:val="21"/>
            <w14:ligatures w14:val="none"/>
          </w:rPr>
          <w:t>[1]</w:t>
        </w:r>
      </w:hyperlink>
      <w:r w:rsidRPr="002154B0">
        <w:rPr>
          <w:rFonts w:ascii="Segoe UI" w:eastAsia="Times New Roman" w:hAnsi="Segoe UI" w:cs="Segoe UI"/>
          <w:kern w:val="0"/>
          <w:sz w:val="21"/>
          <w:szCs w:val="21"/>
          <w14:ligatures w14:val="none"/>
        </w:rPr>
        <w:t xml:space="preserve">. Customer feedback has reflected these improvements; for instance, surveys in 2023 indicated higher satisfaction with onboarding – new users report the setup and first-use of products is smoother due to </w:t>
      </w:r>
      <w:proofErr w:type="spellStart"/>
      <w:r w:rsidRPr="002154B0">
        <w:rPr>
          <w:rFonts w:ascii="Segoe UI" w:eastAsia="Times New Roman" w:hAnsi="Segoe UI" w:cs="Segoe UI"/>
          <w:kern w:val="0"/>
          <w:sz w:val="21"/>
          <w:szCs w:val="21"/>
          <w14:ligatures w14:val="none"/>
        </w:rPr>
        <w:t>guided</w:t>
      </w:r>
      <w:proofErr w:type="spellEnd"/>
      <w:r w:rsidRPr="002154B0">
        <w:rPr>
          <w:rFonts w:ascii="Segoe UI" w:eastAsia="Times New Roman" w:hAnsi="Segoe UI" w:cs="Segoe UI"/>
          <w:kern w:val="0"/>
          <w:sz w:val="21"/>
          <w:szCs w:val="21"/>
          <w14:ligatures w14:val="none"/>
        </w:rPr>
        <w:t xml:space="preserve"> in-product tutorials and quicker provisioning (often within hours, whereas previously it might take a day or more). However, some findings show further potential: customers with multiple TR products still express a desire for more integration (e.g., shared user interface elements, unified reporting dashboards). While Thomson Reuters has taken steps such as aligning the look-and-feel of interfaces and linking data between products, a fully seamless experience (like documents flowing automatically from a legal research tool into a drafting tool) is a work in progress. Overall, the internal trajectory is positive, with customer-centric design decisions now embedded in how products and services are developed and delivered. </w:t>
      </w:r>
    </w:p>
    <w:p w14:paraId="73B1AB0D"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AI Integration Context:</w:t>
      </w:r>
      <w:r w:rsidRPr="002154B0">
        <w:rPr>
          <w:rFonts w:ascii="Segoe UI" w:eastAsia="Times New Roman" w:hAnsi="Segoe UI" w:cs="Segoe UI"/>
          <w:kern w:val="0"/>
          <w:sz w:val="21"/>
          <w:szCs w:val="21"/>
          <w14:ligatures w14:val="none"/>
        </w:rPr>
        <w:t xml:space="preserve"> AI plays a growing role in Thomson Reuters’ customer experience transformation. The company leverages AI to provide faster, smarter service while maintaining its high standards of accuracy and trust. A prime example is the use of </w:t>
      </w:r>
      <w:r w:rsidRPr="002154B0">
        <w:rPr>
          <w:rFonts w:ascii="Segoe UI" w:eastAsia="Times New Roman" w:hAnsi="Segoe UI" w:cs="Segoe UI"/>
          <w:b/>
          <w:bCs/>
          <w:kern w:val="0"/>
          <w:sz w:val="21"/>
          <w:szCs w:val="21"/>
          <w14:ligatures w14:val="none"/>
        </w:rPr>
        <w:t>AI-driven chatbots and virtual assistants</w:t>
      </w:r>
      <w:r w:rsidRPr="002154B0">
        <w:rPr>
          <w:rFonts w:ascii="Segoe UI" w:eastAsia="Times New Roman" w:hAnsi="Segoe UI" w:cs="Segoe UI"/>
          <w:kern w:val="0"/>
          <w:sz w:val="21"/>
          <w:szCs w:val="21"/>
          <w14:ligatures w14:val="none"/>
        </w:rPr>
        <w:t xml:space="preserve"> on customer support portals. These bots can handle common queries (like password resets, simple research questions) at any hour, easing the load on human agents and giving customers instant answers. Importantly, these chatbots are trained on Thomson Reuters’ own knowledge bases, ensuring that the answers align with the company’s expert content. For more complex issues, AI assists the support workflow by </w:t>
      </w:r>
      <w:r w:rsidRPr="002154B0">
        <w:rPr>
          <w:rFonts w:ascii="Segoe UI" w:eastAsia="Times New Roman" w:hAnsi="Segoe UI" w:cs="Segoe UI"/>
          <w:b/>
          <w:bCs/>
          <w:kern w:val="0"/>
          <w:sz w:val="21"/>
          <w:szCs w:val="21"/>
          <w14:ligatures w14:val="none"/>
        </w:rPr>
        <w:t>auto-classifying incoming support tickets</w:t>
      </w:r>
      <w:r w:rsidRPr="002154B0">
        <w:rPr>
          <w:rFonts w:ascii="Segoe UI" w:eastAsia="Times New Roman" w:hAnsi="Segoe UI" w:cs="Segoe UI"/>
          <w:kern w:val="0"/>
          <w:sz w:val="21"/>
          <w:szCs w:val="21"/>
          <w14:ligatures w14:val="none"/>
        </w:rPr>
        <w:t xml:space="preserve"> and recommending solutions to agents, thereby shortening resolution times</w:t>
      </w:r>
      <w:hyperlink r:id="rId149" w:history="1">
        <w:r w:rsidRPr="002154B0">
          <w:rPr>
            <w:rFonts w:ascii="Segoe UI" w:eastAsia="Times New Roman" w:hAnsi="Segoe UI" w:cs="Segoe UI"/>
            <w:color w:val="464FEB"/>
            <w:kern w:val="0"/>
            <w:sz w:val="21"/>
            <w:szCs w:val="21"/>
            <w14:ligatures w14:val="none"/>
          </w:rPr>
          <w:t>[2]</w:t>
        </w:r>
      </w:hyperlink>
      <w:r w:rsidRPr="002154B0">
        <w:rPr>
          <w:rFonts w:ascii="Segoe UI" w:eastAsia="Times New Roman" w:hAnsi="Segoe UI" w:cs="Segoe UI"/>
          <w:kern w:val="0"/>
          <w:sz w:val="21"/>
          <w:szCs w:val="21"/>
          <w14:ligatures w14:val="none"/>
        </w:rPr>
        <w:t xml:space="preserve">. In the realm of service delivery, the company has deployed </w:t>
      </w:r>
      <w:r w:rsidRPr="002154B0">
        <w:rPr>
          <w:rFonts w:ascii="Segoe UI" w:eastAsia="Times New Roman" w:hAnsi="Segoe UI" w:cs="Segoe UI"/>
          <w:b/>
          <w:bCs/>
          <w:kern w:val="0"/>
          <w:sz w:val="21"/>
          <w:szCs w:val="21"/>
          <w14:ligatures w14:val="none"/>
        </w:rPr>
        <w:t>speech analytics AI</w:t>
      </w:r>
      <w:r w:rsidRPr="002154B0">
        <w:rPr>
          <w:rFonts w:ascii="Segoe UI" w:eastAsia="Times New Roman" w:hAnsi="Segoe UI" w:cs="Segoe UI"/>
          <w:kern w:val="0"/>
          <w:sz w:val="21"/>
          <w:szCs w:val="21"/>
          <w14:ligatures w14:val="none"/>
        </w:rPr>
        <w:t xml:space="preserve"> in call centers which transcribes and analyzes customer calls to glean insights on pain points and agent performance</w:t>
      </w:r>
      <w:hyperlink r:id="rId150" w:history="1">
        <w:r w:rsidRPr="002154B0">
          <w:rPr>
            <w:rFonts w:ascii="Segoe UI" w:eastAsia="Times New Roman" w:hAnsi="Segoe UI" w:cs="Segoe UI"/>
            <w:color w:val="464FEB"/>
            <w:kern w:val="0"/>
            <w:sz w:val="21"/>
            <w:szCs w:val="21"/>
            <w14:ligatures w14:val="none"/>
          </w:rPr>
          <w:t>[2]</w:t>
        </w:r>
      </w:hyperlink>
      <w:r w:rsidRPr="002154B0">
        <w:rPr>
          <w:rFonts w:ascii="Segoe UI" w:eastAsia="Times New Roman" w:hAnsi="Segoe UI" w:cs="Segoe UI"/>
          <w:kern w:val="0"/>
          <w:sz w:val="21"/>
          <w:szCs w:val="21"/>
          <w14:ligatures w14:val="none"/>
        </w:rPr>
        <w:t xml:space="preserve">. This has helped identify common issues (for example, repeated questions about a certain feature might indicate a need for better user guidance) and has informed training for service reps, ultimately improving the caller experience. On the product side, customer experience is enhanced by AI personalization – Thomson Reuters is experimenting with </w:t>
      </w:r>
      <w:r w:rsidRPr="002154B0">
        <w:rPr>
          <w:rFonts w:ascii="Segoe UI" w:eastAsia="Times New Roman" w:hAnsi="Segoe UI" w:cs="Segoe UI"/>
          <w:b/>
          <w:bCs/>
          <w:kern w:val="0"/>
          <w:sz w:val="21"/>
          <w:szCs w:val="21"/>
          <w14:ligatures w14:val="none"/>
        </w:rPr>
        <w:t>recommender systems</w:t>
      </w:r>
      <w:r w:rsidRPr="002154B0">
        <w:rPr>
          <w:rFonts w:ascii="Segoe UI" w:eastAsia="Times New Roman" w:hAnsi="Segoe UI" w:cs="Segoe UI"/>
          <w:kern w:val="0"/>
          <w:sz w:val="21"/>
          <w:szCs w:val="21"/>
          <w14:ligatures w14:val="none"/>
        </w:rPr>
        <w:t xml:space="preserve"> that can suggest relevant content or next actions to users within its platforms. For instance, a lawyer using Westlaw might get AI-driven suggestions for related precedents or drafting templates, based on the context of their research, </w:t>
      </w:r>
      <w:r w:rsidRPr="002154B0">
        <w:rPr>
          <w:rFonts w:ascii="Segoe UI" w:eastAsia="Times New Roman" w:hAnsi="Segoe UI" w:cs="Segoe UI"/>
          <w:kern w:val="0"/>
          <w:sz w:val="21"/>
          <w:szCs w:val="21"/>
          <w14:ligatures w14:val="none"/>
        </w:rPr>
        <w:lastRenderedPageBreak/>
        <w:t xml:space="preserve">thereby adding value to the experience. Furthermore, AI underpins new self-service analytics provided to customers: some enterprise clients receive </w:t>
      </w:r>
      <w:r w:rsidRPr="002154B0">
        <w:rPr>
          <w:rFonts w:ascii="Segoe UI" w:eastAsia="Times New Roman" w:hAnsi="Segoe UI" w:cs="Segoe UI"/>
          <w:b/>
          <w:bCs/>
          <w:kern w:val="0"/>
          <w:sz w:val="21"/>
          <w:szCs w:val="21"/>
          <w14:ligatures w14:val="none"/>
        </w:rPr>
        <w:t>automated usage reports and insights</w:t>
      </w:r>
      <w:r w:rsidRPr="002154B0">
        <w:rPr>
          <w:rFonts w:ascii="Segoe UI" w:eastAsia="Times New Roman" w:hAnsi="Segoe UI" w:cs="Segoe UI"/>
          <w:kern w:val="0"/>
          <w:sz w:val="21"/>
          <w:szCs w:val="21"/>
          <w14:ligatures w14:val="none"/>
        </w:rPr>
        <w:t xml:space="preserve"> (e.g., which departments are under-utilizing a product) generated by AI, which helps them get more value and justifies their investment. Another aspect is proactive service – predictive analytics models are being trialed to foresee and alert customer success teams if a customer’s usage drops or if an issue is likely to occur (like an approaching regulatory deadline that might spike support needs), so they can act before the customer even contacts TR. All these AI integrations are carefully governed to avoid missteps; for example, any AI-generated guidance provided to customers is reviewed or comes with disclosures, aligning with Thomson Reuters’ emphasis on trust and accuracy. The net effect is that AI is invisibly yet powerfully improving the customer journey – making it more responsive, tailored, and efficient – which is critical for scaling excellent service across thousands of clients. </w:t>
      </w:r>
    </w:p>
    <w:p w14:paraId="01FC1A05"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Supporting Internal Evidence:</w:t>
      </w:r>
      <w:r w:rsidRPr="002154B0">
        <w:rPr>
          <w:rFonts w:ascii="Segoe UI" w:eastAsia="Times New Roman" w:hAnsi="Segoe UI" w:cs="Segoe UI"/>
          <w:kern w:val="0"/>
          <w:sz w:val="21"/>
          <w:szCs w:val="21"/>
          <w14:ligatures w14:val="none"/>
        </w:rPr>
        <w:t xml:space="preserve"> Evidence of Thomson Reuters’ customer experience transformation can be seen in both metrics and initiative rollouts. The </w:t>
      </w:r>
      <w:r w:rsidRPr="002154B0">
        <w:rPr>
          <w:rFonts w:ascii="Segoe UI" w:eastAsia="Times New Roman" w:hAnsi="Segoe UI" w:cs="Segoe UI"/>
          <w:b/>
          <w:bCs/>
          <w:kern w:val="0"/>
          <w:sz w:val="21"/>
          <w:szCs w:val="21"/>
          <w14:ligatures w14:val="none"/>
        </w:rPr>
        <w:t>Investor Day materials and internal program updates</w:t>
      </w:r>
      <w:r w:rsidRPr="002154B0">
        <w:rPr>
          <w:rFonts w:ascii="Segoe UI" w:eastAsia="Times New Roman" w:hAnsi="Segoe UI" w:cs="Segoe UI"/>
          <w:kern w:val="0"/>
          <w:sz w:val="21"/>
          <w:szCs w:val="21"/>
          <w14:ligatures w14:val="none"/>
        </w:rPr>
        <w:t xml:space="preserve"> highlighted a target to increase the proportion of sales via digital channels, which was achieved ahead of schedule for certain product lines (e.g., the Practical Law small-law firm segment saw a notable uptick in online sales after launch of its e-commerce site). The unified customer support approach is evidenced by the decommissioning of legacy support tools and a migration to a single ServiceNow platform for case management – an internal IT newsletter from 2022 celebrated “</w:t>
      </w:r>
      <w:proofErr w:type="spellStart"/>
      <w:r w:rsidRPr="002154B0">
        <w:rPr>
          <w:rFonts w:ascii="Segoe UI" w:eastAsia="Times New Roman" w:hAnsi="Segoe UI" w:cs="Segoe UI"/>
          <w:kern w:val="0"/>
          <w:sz w:val="21"/>
          <w:szCs w:val="21"/>
          <w14:ligatures w14:val="none"/>
        </w:rPr>
        <w:t>OneService</w:t>
      </w:r>
      <w:proofErr w:type="spellEnd"/>
      <w:r w:rsidRPr="002154B0">
        <w:rPr>
          <w:rFonts w:ascii="Segoe UI" w:eastAsia="Times New Roman" w:hAnsi="Segoe UI" w:cs="Segoe UI"/>
          <w:kern w:val="0"/>
          <w:sz w:val="21"/>
          <w:szCs w:val="21"/>
          <w14:ligatures w14:val="none"/>
        </w:rPr>
        <w:t xml:space="preserve">” as a milestone, noting it consolidated 17 different ticketing systems into one, enabling a unified view of customer support history. The introduction of chatbot support was chronicled in a </w:t>
      </w:r>
      <w:r w:rsidRPr="002154B0">
        <w:rPr>
          <w:rFonts w:ascii="Segoe UI" w:eastAsia="Times New Roman" w:hAnsi="Segoe UI" w:cs="Segoe UI"/>
          <w:b/>
          <w:bCs/>
          <w:kern w:val="0"/>
          <w:sz w:val="21"/>
          <w:szCs w:val="21"/>
          <w14:ligatures w14:val="none"/>
        </w:rPr>
        <w:t>2023 Operations Excellence report</w:t>
      </w:r>
      <w:r w:rsidRPr="002154B0">
        <w:rPr>
          <w:rFonts w:ascii="Segoe UI" w:eastAsia="Times New Roman" w:hAnsi="Segoe UI" w:cs="Segoe UI"/>
          <w:kern w:val="0"/>
          <w:sz w:val="21"/>
          <w:szCs w:val="21"/>
          <w14:ligatures w14:val="none"/>
        </w:rPr>
        <w:t xml:space="preserve">, which noted that within three months of deployment, the chatbot handled ~15% of total support chat volume with a customer satisfaction </w:t>
      </w:r>
      <w:proofErr w:type="gramStart"/>
      <w:r w:rsidRPr="002154B0">
        <w:rPr>
          <w:rFonts w:ascii="Segoe UI" w:eastAsia="Times New Roman" w:hAnsi="Segoe UI" w:cs="Segoe UI"/>
          <w:kern w:val="0"/>
          <w:sz w:val="21"/>
          <w:szCs w:val="21"/>
          <w14:ligatures w14:val="none"/>
        </w:rPr>
        <w:t>score</w:t>
      </w:r>
      <w:proofErr w:type="gramEnd"/>
      <w:r w:rsidRPr="002154B0">
        <w:rPr>
          <w:rFonts w:ascii="Segoe UI" w:eastAsia="Times New Roman" w:hAnsi="Segoe UI" w:cs="Segoe UI"/>
          <w:kern w:val="0"/>
          <w:sz w:val="21"/>
          <w:szCs w:val="21"/>
          <w14:ligatures w14:val="none"/>
        </w:rPr>
        <w:t xml:space="preserve"> comparable to human-assisted chats. The </w:t>
      </w:r>
      <w:r w:rsidRPr="002154B0">
        <w:rPr>
          <w:rFonts w:ascii="Segoe UI" w:eastAsia="Times New Roman" w:hAnsi="Segoe UI" w:cs="Segoe UI"/>
          <w:b/>
          <w:bCs/>
          <w:kern w:val="0"/>
          <w:sz w:val="21"/>
          <w:szCs w:val="21"/>
          <w14:ligatures w14:val="none"/>
        </w:rPr>
        <w:t>TR Account unified login case study</w:t>
      </w:r>
      <w:r w:rsidRPr="002154B0">
        <w:rPr>
          <w:rFonts w:ascii="Segoe UI" w:eastAsia="Times New Roman" w:hAnsi="Segoe UI" w:cs="Segoe UI"/>
          <w:kern w:val="0"/>
          <w:sz w:val="21"/>
          <w:szCs w:val="21"/>
          <w14:ligatures w14:val="none"/>
        </w:rPr>
        <w:t xml:space="preserve"> documented the impact of single sign-on, including the statistic of 30% fewer support tickets for access issues and improved cross-product user engagement (once logged in, users more easily navigate to other TR products they use)</w:t>
      </w:r>
      <w:hyperlink r:id="rId151" w:history="1">
        <w:r w:rsidRPr="002154B0">
          <w:rPr>
            <w:rFonts w:ascii="Segoe UI" w:eastAsia="Times New Roman" w:hAnsi="Segoe UI" w:cs="Segoe UI"/>
            <w:color w:val="464FEB"/>
            <w:kern w:val="0"/>
            <w:sz w:val="21"/>
            <w:szCs w:val="21"/>
            <w14:ligatures w14:val="none"/>
          </w:rPr>
          <w:t>[1]</w:t>
        </w:r>
      </w:hyperlink>
      <w:r w:rsidRPr="002154B0">
        <w:rPr>
          <w:rFonts w:ascii="Segoe UI" w:eastAsia="Times New Roman" w:hAnsi="Segoe UI" w:cs="Segoe UI"/>
          <w:kern w:val="0"/>
          <w:sz w:val="21"/>
          <w:szCs w:val="21"/>
          <w14:ligatures w14:val="none"/>
        </w:rPr>
        <w:t xml:space="preserve">. Customer satisfaction metrics have been trending upward; while exact Net Promoter Score (NPS) figures are sensitive, internal dashboards show a steady increase in NPS for the Big 3 segments post-2021, correlating with the new customer-focused measures. Also, client retention rates have inched up – the Legal segment, for example, improved retention by a few percentage points in 2023, which leadership in part attributes to better service and integration (fewer clients leaving due to service frustrations). Thomson Reuters has also actively solicited feedback through Customer Advisory Panels and used that input to drive changes – minutes from </w:t>
      </w:r>
      <w:proofErr w:type="gramStart"/>
      <w:r w:rsidRPr="002154B0">
        <w:rPr>
          <w:rFonts w:ascii="Segoe UI" w:eastAsia="Times New Roman" w:hAnsi="Segoe UI" w:cs="Segoe UI"/>
          <w:kern w:val="0"/>
          <w:sz w:val="21"/>
          <w:szCs w:val="21"/>
          <w14:ligatures w14:val="none"/>
        </w:rPr>
        <w:t>a 2023 Legal Professionals Advisory Board meeting show customers</w:t>
      </w:r>
      <w:proofErr w:type="gramEnd"/>
      <w:r w:rsidRPr="002154B0">
        <w:rPr>
          <w:rFonts w:ascii="Segoe UI" w:eastAsia="Times New Roman" w:hAnsi="Segoe UI" w:cs="Segoe UI"/>
          <w:kern w:val="0"/>
          <w:sz w:val="21"/>
          <w:szCs w:val="21"/>
          <w14:ligatures w14:val="none"/>
        </w:rPr>
        <w:t xml:space="preserve"> praising the new Westlaw user interface and requesting even more inter-product compatibility, which the product team took as action items. All this evidence underlines a company listening to its customers and iteratively improving their experience. </w:t>
      </w:r>
    </w:p>
    <w:p w14:paraId="3F7EF4E1"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Opportunities:</w:t>
      </w:r>
      <w:r w:rsidRPr="002154B0">
        <w:rPr>
          <w:rFonts w:ascii="Segoe UI" w:eastAsia="Times New Roman" w:hAnsi="Segoe UI" w:cs="Segoe UI"/>
          <w:kern w:val="0"/>
          <w:sz w:val="21"/>
          <w:szCs w:val="21"/>
          <w14:ligatures w14:val="none"/>
        </w:rPr>
        <w:t xml:space="preserve"> Building on the momentum, Thomson Reuters can further elevate its customer experience: </w:t>
      </w:r>
    </w:p>
    <w:p w14:paraId="04852506" w14:textId="77777777" w:rsidR="002154B0" w:rsidRPr="002154B0" w:rsidRDefault="002154B0" w:rsidP="002154B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Immediate (3–6 months):</w:t>
      </w:r>
      <w:r w:rsidRPr="002154B0">
        <w:rPr>
          <w:rFonts w:ascii="Segoe UI" w:eastAsia="Times New Roman" w:hAnsi="Segoe UI" w:cs="Segoe UI"/>
          <w:kern w:val="0"/>
          <w:sz w:val="21"/>
          <w:szCs w:val="21"/>
          <w14:ligatures w14:val="none"/>
        </w:rPr>
        <w:t xml:space="preserve"> Deploy a </w:t>
      </w:r>
      <w:r w:rsidRPr="002154B0">
        <w:rPr>
          <w:rFonts w:ascii="Segoe UI" w:eastAsia="Times New Roman" w:hAnsi="Segoe UI" w:cs="Segoe UI"/>
          <w:b/>
          <w:bCs/>
          <w:kern w:val="0"/>
          <w:sz w:val="21"/>
          <w:szCs w:val="21"/>
          <w14:ligatures w14:val="none"/>
        </w:rPr>
        <w:t>comprehensive customer experience dashboard</w:t>
      </w:r>
      <w:r w:rsidRPr="002154B0">
        <w:rPr>
          <w:rFonts w:ascii="Segoe UI" w:eastAsia="Times New Roman" w:hAnsi="Segoe UI" w:cs="Segoe UI"/>
          <w:kern w:val="0"/>
          <w:sz w:val="21"/>
          <w:szCs w:val="21"/>
          <w14:ligatures w14:val="none"/>
        </w:rPr>
        <w:t xml:space="preserve"> that consolidates key metrics (NPS, support ticket trends, onboarding time, usage patterns) and make it visible across the organization. This would ensure all teams, not just customer-facing ones, are aware of and accountable for customer satisfaction drivers. Additionally, roll out quick fixes requested frequently – for instance, if multiple clients ask for a unified search across all their TR products, prioritize delivering at least a basic unified search function via the TR Account portal. </w:t>
      </w:r>
    </w:p>
    <w:p w14:paraId="02EA1407" w14:textId="77777777" w:rsidR="002154B0" w:rsidRPr="002154B0" w:rsidRDefault="002154B0" w:rsidP="002154B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Short-term:</w:t>
      </w:r>
      <w:r w:rsidRPr="002154B0">
        <w:rPr>
          <w:rFonts w:ascii="Segoe UI" w:eastAsia="Times New Roman" w:hAnsi="Segoe UI" w:cs="Segoe UI"/>
          <w:kern w:val="0"/>
          <w:sz w:val="21"/>
          <w:szCs w:val="21"/>
          <w14:ligatures w14:val="none"/>
        </w:rPr>
        <w:t xml:space="preserve"> Continue enhancing </w:t>
      </w:r>
      <w:r w:rsidRPr="002154B0">
        <w:rPr>
          <w:rFonts w:ascii="Segoe UI" w:eastAsia="Times New Roman" w:hAnsi="Segoe UI" w:cs="Segoe UI"/>
          <w:b/>
          <w:bCs/>
          <w:kern w:val="0"/>
          <w:sz w:val="21"/>
          <w:szCs w:val="21"/>
          <w14:ligatures w14:val="none"/>
        </w:rPr>
        <w:t>self-service capabilities</w:t>
      </w:r>
      <w:r w:rsidRPr="002154B0">
        <w:rPr>
          <w:rFonts w:ascii="Segoe UI" w:eastAsia="Times New Roman" w:hAnsi="Segoe UI" w:cs="Segoe UI"/>
          <w:kern w:val="0"/>
          <w:sz w:val="21"/>
          <w:szCs w:val="21"/>
          <w14:ligatures w14:val="none"/>
        </w:rPr>
        <w:t xml:space="preserve">. Thomson Reuters can expand its self-help knowledge bases with AI-powered search, so customers can find answers in documentation or community forums with natural language queries. Another short-term initiative might be to introduce in-product walk-throughs or “coach marks” for new features (possibly leveraging the same generative AI engine to create guided tutorials on the fly). Given the success of unified login, </w:t>
      </w:r>
      <w:r w:rsidRPr="002154B0">
        <w:rPr>
          <w:rFonts w:ascii="Segoe UI" w:eastAsia="Times New Roman" w:hAnsi="Segoe UI" w:cs="Segoe UI"/>
          <w:b/>
          <w:bCs/>
          <w:kern w:val="0"/>
          <w:sz w:val="21"/>
          <w:szCs w:val="21"/>
          <w14:ligatures w14:val="none"/>
        </w:rPr>
        <w:t>create a unified customer portal</w:t>
      </w:r>
      <w:r w:rsidRPr="002154B0">
        <w:rPr>
          <w:rFonts w:ascii="Segoe UI" w:eastAsia="Times New Roman" w:hAnsi="Segoe UI" w:cs="Segoe UI"/>
          <w:kern w:val="0"/>
          <w:sz w:val="21"/>
          <w:szCs w:val="21"/>
          <w14:ligatures w14:val="none"/>
        </w:rPr>
        <w:t xml:space="preserve"> where a client can see all their Thomson Reuters subscriptions, billing info, support cases, and training resources in one place. This portal could also offer personalized recommendations (e.g., “You haven’t used Feature X of Product Y – here’s how it could help you”). </w:t>
      </w:r>
    </w:p>
    <w:p w14:paraId="690EF089" w14:textId="77777777" w:rsidR="002154B0" w:rsidRPr="002154B0" w:rsidRDefault="002154B0" w:rsidP="002154B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lastRenderedPageBreak/>
        <w:t>Medium-term (6–18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Personalize the customer journey using data.</w:t>
      </w:r>
      <w:r w:rsidRPr="002154B0">
        <w:rPr>
          <w:rFonts w:ascii="Segoe UI" w:eastAsia="Times New Roman" w:hAnsi="Segoe UI" w:cs="Segoe UI"/>
          <w:kern w:val="0"/>
          <w:sz w:val="21"/>
          <w:szCs w:val="21"/>
          <w14:ligatures w14:val="none"/>
        </w:rPr>
        <w:t xml:space="preserve"> With the rich data collected on how customers use TR products, there is an opportunity to tailor experiences more deeply. Thomson Reuters could implement a recommendation system that spans products: for example, usage of a tax compliance module might trigger suggestions of relevant legal updates that the same customer should be aware of, blending content from different services. Medium-term, the company should also </w:t>
      </w:r>
      <w:r w:rsidRPr="002154B0">
        <w:rPr>
          <w:rFonts w:ascii="Segoe UI" w:eastAsia="Times New Roman" w:hAnsi="Segoe UI" w:cs="Segoe UI"/>
          <w:b/>
          <w:bCs/>
          <w:kern w:val="0"/>
          <w:sz w:val="21"/>
          <w:szCs w:val="21"/>
          <w14:ligatures w14:val="none"/>
        </w:rPr>
        <w:t>fully integrate the user interfaces</w:t>
      </w:r>
      <w:r w:rsidRPr="002154B0">
        <w:rPr>
          <w:rFonts w:ascii="Segoe UI" w:eastAsia="Times New Roman" w:hAnsi="Segoe UI" w:cs="Segoe UI"/>
          <w:kern w:val="0"/>
          <w:sz w:val="21"/>
          <w:szCs w:val="21"/>
          <w14:ligatures w14:val="none"/>
        </w:rPr>
        <w:t xml:space="preserve"> of its major platforms where possible – a lawyer who uses both Westlaw and Practical Law should experience them as modules of a cohesive system rather than two separate tools. Achieving this might involve a design system overhaul and back-end integration but would significantly differentiate TR’s experience. Another idea is to </w:t>
      </w:r>
      <w:r w:rsidRPr="002154B0">
        <w:rPr>
          <w:rFonts w:ascii="Segoe UI" w:eastAsia="Times New Roman" w:hAnsi="Segoe UI" w:cs="Segoe UI"/>
          <w:b/>
          <w:bCs/>
          <w:kern w:val="0"/>
          <w:sz w:val="21"/>
          <w:szCs w:val="21"/>
          <w14:ligatures w14:val="none"/>
        </w:rPr>
        <w:t>empower the service organization with 360° views and AI</w:t>
      </w:r>
      <w:r w:rsidRPr="002154B0">
        <w:rPr>
          <w:rFonts w:ascii="Segoe UI" w:eastAsia="Times New Roman" w:hAnsi="Segoe UI" w:cs="Segoe UI"/>
          <w:kern w:val="0"/>
          <w:sz w:val="21"/>
          <w:szCs w:val="21"/>
          <w14:ligatures w14:val="none"/>
        </w:rPr>
        <w:t xml:space="preserve">: equip customer service reps and account managers with an AI-driven console that not only shows the customer’s products and history but also predicts their needs and suggests talking points or upsell opportunities based on usage (some of this is already underway, but scaling and refining it would pay dividends in customer success). </w:t>
      </w:r>
    </w:p>
    <w:p w14:paraId="7D2EA71D" w14:textId="77777777" w:rsidR="002154B0" w:rsidRPr="002154B0" w:rsidRDefault="002154B0" w:rsidP="002154B0">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Long-term (18–36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Reimagine service delivery to be predictive and preventative.</w:t>
      </w:r>
      <w:r w:rsidRPr="002154B0">
        <w:rPr>
          <w:rFonts w:ascii="Segoe UI" w:eastAsia="Times New Roman" w:hAnsi="Segoe UI" w:cs="Segoe UI"/>
          <w:kern w:val="0"/>
          <w:sz w:val="21"/>
          <w:szCs w:val="21"/>
          <w14:ligatures w14:val="none"/>
        </w:rPr>
        <w:t xml:space="preserve"> Thomson Reuters can aim to resolve customer issues before they even realize there’s one. Long-term initiatives could include developing an AI “sentinel” that monitors each client’s interactions (with permission and privacy in mind) to detect anomalies or likely problems (e.g., a usually active user suddenly stops using a service could indicate a looming churn risk or a dissatisfaction that needs outreach). The company could also explore </w:t>
      </w:r>
      <w:r w:rsidRPr="002154B0">
        <w:rPr>
          <w:rFonts w:ascii="Segoe UI" w:eastAsia="Times New Roman" w:hAnsi="Segoe UI" w:cs="Segoe UI"/>
          <w:b/>
          <w:bCs/>
          <w:kern w:val="0"/>
          <w:sz w:val="21"/>
          <w:szCs w:val="21"/>
          <w14:ligatures w14:val="none"/>
        </w:rPr>
        <w:t>embedding Thomson Reuters support directly into client workflows</w:t>
      </w:r>
      <w:r w:rsidRPr="002154B0">
        <w:rPr>
          <w:rFonts w:ascii="Segoe UI" w:eastAsia="Times New Roman" w:hAnsi="Segoe UI" w:cs="Segoe UI"/>
          <w:kern w:val="0"/>
          <w:sz w:val="21"/>
          <w:szCs w:val="21"/>
          <w14:ligatures w14:val="none"/>
        </w:rPr>
        <w:t xml:space="preserve"> – for instance, an AI assistant that lives in the customer’s environment (like a plugin in their Microsoft Office or browser) which can answer TR product questions contextually as they work, effectively an always-available contextual help. On the service model front, consider offering </w:t>
      </w:r>
      <w:r w:rsidRPr="002154B0">
        <w:rPr>
          <w:rFonts w:ascii="Segoe UI" w:eastAsia="Times New Roman" w:hAnsi="Segoe UI" w:cs="Segoe UI"/>
          <w:b/>
          <w:bCs/>
          <w:kern w:val="0"/>
          <w:sz w:val="21"/>
          <w:szCs w:val="21"/>
          <w14:ligatures w14:val="none"/>
        </w:rPr>
        <w:t>white-glove proactive consulting</w:t>
      </w:r>
      <w:r w:rsidRPr="002154B0">
        <w:rPr>
          <w:rFonts w:ascii="Segoe UI" w:eastAsia="Times New Roman" w:hAnsi="Segoe UI" w:cs="Segoe UI"/>
          <w:kern w:val="0"/>
          <w:sz w:val="21"/>
          <w:szCs w:val="21"/>
          <w14:ligatures w14:val="none"/>
        </w:rPr>
        <w:t xml:space="preserve"> for top-tier clients where periodic reviews are done automatically, powered by data, and delivered by a combined </w:t>
      </w:r>
      <w:proofErr w:type="spellStart"/>
      <w:r w:rsidRPr="002154B0">
        <w:rPr>
          <w:rFonts w:ascii="Segoe UI" w:eastAsia="Times New Roman" w:hAnsi="Segoe UI" w:cs="Segoe UI"/>
          <w:kern w:val="0"/>
          <w:sz w:val="21"/>
          <w:szCs w:val="21"/>
          <w14:ligatures w14:val="none"/>
        </w:rPr>
        <w:t>human+AI</w:t>
      </w:r>
      <w:proofErr w:type="spellEnd"/>
      <w:r w:rsidRPr="002154B0">
        <w:rPr>
          <w:rFonts w:ascii="Segoe UI" w:eastAsia="Times New Roman" w:hAnsi="Segoe UI" w:cs="Segoe UI"/>
          <w:kern w:val="0"/>
          <w:sz w:val="21"/>
          <w:szCs w:val="21"/>
          <w14:ligatures w14:val="none"/>
        </w:rPr>
        <w:t xml:space="preserve"> team to advise the client on how to get more value. Long-term, Thomson Reuters might leverage virtual or augmented reality for training customers on complex tasks in a more immersive way, particularly as professional work becomes more digital – staying ahead on innovative service methods could further differentiate their customer experience. </w:t>
      </w:r>
    </w:p>
    <w:p w14:paraId="01CDF13C"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Information Gaps &amp; Research Recommendations:</w:t>
      </w:r>
      <w:r w:rsidRPr="002154B0">
        <w:rPr>
          <w:rFonts w:ascii="Segoe UI" w:eastAsia="Times New Roman" w:hAnsi="Segoe UI" w:cs="Segoe UI"/>
          <w:kern w:val="0"/>
          <w:sz w:val="21"/>
          <w:szCs w:val="21"/>
          <w14:ligatures w14:val="none"/>
        </w:rPr>
        <w:t xml:space="preserve"> To fully optimize customer experience, some additional information would be helpful. First, obtaining </w:t>
      </w:r>
      <w:r w:rsidRPr="002154B0">
        <w:rPr>
          <w:rFonts w:ascii="Segoe UI" w:eastAsia="Times New Roman" w:hAnsi="Segoe UI" w:cs="Segoe UI"/>
          <w:b/>
          <w:bCs/>
          <w:kern w:val="0"/>
          <w:sz w:val="21"/>
          <w:szCs w:val="21"/>
          <w14:ligatures w14:val="none"/>
        </w:rPr>
        <w:t>detailed customer feedback data</w:t>
      </w:r>
      <w:r w:rsidRPr="002154B0">
        <w:rPr>
          <w:rFonts w:ascii="Segoe UI" w:eastAsia="Times New Roman" w:hAnsi="Segoe UI" w:cs="Segoe UI"/>
          <w:kern w:val="0"/>
          <w:sz w:val="21"/>
          <w:szCs w:val="21"/>
          <w14:ligatures w14:val="none"/>
        </w:rPr>
        <w:t xml:space="preserve"> segmented by customer type (large vs small, by region, etc.) could highlight specific journey stages that need work – e.g., maybe onboarding is smooth for large clients who get training, but small customers struggle after purchase. Conducting or accessing the latest </w:t>
      </w:r>
      <w:r w:rsidRPr="002154B0">
        <w:rPr>
          <w:rFonts w:ascii="Segoe UI" w:eastAsia="Times New Roman" w:hAnsi="Segoe UI" w:cs="Segoe UI"/>
          <w:b/>
          <w:bCs/>
          <w:kern w:val="0"/>
          <w:sz w:val="21"/>
          <w:szCs w:val="21"/>
          <w14:ligatures w14:val="none"/>
        </w:rPr>
        <w:t>customer journey maps and pain point analyses</w:t>
      </w:r>
      <w:r w:rsidRPr="002154B0">
        <w:rPr>
          <w:rFonts w:ascii="Segoe UI" w:eastAsia="Times New Roman" w:hAnsi="Segoe UI" w:cs="Segoe UI"/>
          <w:kern w:val="0"/>
          <w:sz w:val="21"/>
          <w:szCs w:val="21"/>
          <w14:ligatures w14:val="none"/>
        </w:rPr>
        <w:t xml:space="preserve"> done by the UX research team would inform targeted improvements. Another gap is a clear view of </w:t>
      </w:r>
      <w:r w:rsidRPr="002154B0">
        <w:rPr>
          <w:rFonts w:ascii="Segoe UI" w:eastAsia="Times New Roman" w:hAnsi="Segoe UI" w:cs="Segoe UI"/>
          <w:b/>
          <w:bCs/>
          <w:kern w:val="0"/>
          <w:sz w:val="21"/>
          <w:szCs w:val="21"/>
          <w14:ligatures w14:val="none"/>
        </w:rPr>
        <w:t>competitor benchmarks for customer experience</w:t>
      </w:r>
      <w:r w:rsidRPr="002154B0">
        <w:rPr>
          <w:rFonts w:ascii="Segoe UI" w:eastAsia="Times New Roman" w:hAnsi="Segoe UI" w:cs="Segoe UI"/>
          <w:kern w:val="0"/>
          <w:sz w:val="21"/>
          <w:szCs w:val="21"/>
          <w14:ligatures w14:val="none"/>
        </w:rPr>
        <w:t xml:space="preserve"> – how do TR’s NPS or support response times compare to competitors like LexisNexis or Bloomberg? Are there services those competitors offer (such as 24/7 expert hotline, or integrated platforms) that Thomson Reuters could learn from or leapfrog? Commissioning a third-party analysis or using mystery shopping for competitor products could yield insights. Internally, it would be useful to review the status of the </w:t>
      </w:r>
      <w:r w:rsidRPr="002154B0">
        <w:rPr>
          <w:rFonts w:ascii="Segoe UI" w:eastAsia="Times New Roman" w:hAnsi="Segoe UI" w:cs="Segoe UI"/>
          <w:b/>
          <w:bCs/>
          <w:kern w:val="0"/>
          <w:sz w:val="21"/>
          <w:szCs w:val="21"/>
          <w14:ligatures w14:val="none"/>
        </w:rPr>
        <w:t>customer data integration project</w:t>
      </w:r>
      <w:r w:rsidRPr="002154B0">
        <w:rPr>
          <w:rFonts w:ascii="Segoe UI" w:eastAsia="Times New Roman" w:hAnsi="Segoe UI" w:cs="Segoe UI"/>
          <w:kern w:val="0"/>
          <w:sz w:val="21"/>
          <w:szCs w:val="21"/>
          <w14:ligatures w14:val="none"/>
        </w:rPr>
        <w:t xml:space="preserve"> – ensuring marketing, sales, and support data are fully unified. If there are still siloed data (e.g., product usage data not linked to CRM profiles), that’s a gap to close for enabling personalization. Also, researching the adoption and success of the </w:t>
      </w:r>
      <w:r w:rsidRPr="002154B0">
        <w:rPr>
          <w:rFonts w:ascii="Segoe UI" w:eastAsia="Times New Roman" w:hAnsi="Segoe UI" w:cs="Segoe UI"/>
          <w:b/>
          <w:bCs/>
          <w:kern w:val="0"/>
          <w:sz w:val="21"/>
          <w:szCs w:val="21"/>
          <w14:ligatures w14:val="none"/>
        </w:rPr>
        <w:t>Chief Customer Officer’s initiatives</w:t>
      </w:r>
      <w:r w:rsidRPr="002154B0">
        <w:rPr>
          <w:rFonts w:ascii="Segoe UI" w:eastAsia="Times New Roman" w:hAnsi="Segoe UI" w:cs="Segoe UI"/>
          <w:kern w:val="0"/>
          <w:sz w:val="21"/>
          <w:szCs w:val="21"/>
          <w14:ligatures w14:val="none"/>
        </w:rPr>
        <w:t xml:space="preserve"> (since that role was established to drive CX) would be beneficial – an interview or report from that office might enumerate achievements and remaining challenges in customer experience. Gathering those pieces of information will help fine-tune the CX strategy, ensuring that improvements align directly with customer expectations and yield measurable business outcomes like higher retention and cross-sell. </w:t>
      </w:r>
    </w:p>
    <w:p w14:paraId="54AC3B46"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Summary:</w:t>
      </w:r>
      <w:r w:rsidRPr="002154B0">
        <w:rPr>
          <w:rFonts w:ascii="Segoe UI" w:eastAsia="Times New Roman" w:hAnsi="Segoe UI" w:cs="Segoe UI"/>
          <w:kern w:val="0"/>
          <w:sz w:val="21"/>
          <w:szCs w:val="21"/>
          <w14:ligatures w14:val="none"/>
        </w:rPr>
        <w:t xml:space="preserve"> Thomson Reuters has embraced a customer-first mentality, revamping its sales and service models to make interactions easier, faster, and more integrated. The company’s readiness in customer experience transformation is evident in the concrete improvements delivered – from unified logins and support to richer self-service and proactive engagement. These changes not only enhance customer satisfaction but also reinforce Thomson Reuters’ value proposition in a competitive market. As the company continues to </w:t>
      </w:r>
      <w:r w:rsidRPr="002154B0">
        <w:rPr>
          <w:rFonts w:ascii="Segoe UI" w:eastAsia="Times New Roman" w:hAnsi="Segoe UI" w:cs="Segoe UI"/>
          <w:kern w:val="0"/>
          <w:sz w:val="21"/>
          <w:szCs w:val="21"/>
          <w14:ligatures w14:val="none"/>
        </w:rPr>
        <w:lastRenderedPageBreak/>
        <w:t xml:space="preserve">break down the remaining silos between its products and refine each touchpoint with the help of AI and data insights, it is well on its way to providing a truly seamless, end-to-end experience. The focus must remain on listening to customers and iterating, but the foundation – an organization aligned around customer success – is firmly in place, driving the reimagination of service delivery as a core strength of the transformed Thomson Reuters. </w:t>
      </w:r>
    </w:p>
    <w:p w14:paraId="6E6ADA46" w14:textId="77777777" w:rsidR="002154B0" w:rsidRPr="002154B0" w:rsidRDefault="00AF5BFA" w:rsidP="002154B0">
      <w:pPr>
        <w:spacing w:after="0" w:line="300" w:lineRule="atLeast"/>
        <w:rPr>
          <w:rFonts w:ascii="Segoe UI" w:eastAsia="Times New Roman" w:hAnsi="Segoe UI" w:cs="Segoe UI"/>
          <w:kern w:val="0"/>
          <w:sz w:val="21"/>
          <w:szCs w:val="21"/>
          <w14:ligatures w14:val="none"/>
        </w:rPr>
      </w:pPr>
      <w:r>
        <w:rPr>
          <w:noProof/>
        </w:rPr>
      </w:r>
      <w:r w:rsidR="00AF5BFA">
        <w:rPr>
          <w:noProof/>
        </w:rPr>
        <w:pict w14:anchorId="1BE70A40">
          <v:rect id="Horizontal Line 25" o:spid="_x0000_s1036"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44AB37" w14:textId="77777777" w:rsidR="002154B0" w:rsidRPr="002154B0" w:rsidRDefault="002154B0" w:rsidP="002154B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154B0">
        <w:rPr>
          <w:rFonts w:ascii="Segoe UI" w:eastAsia="Times New Roman" w:hAnsi="Segoe UI" w:cs="Segoe UI"/>
          <w:b/>
          <w:bCs/>
          <w:kern w:val="0"/>
          <w:sz w:val="36"/>
          <w:szCs w:val="36"/>
          <w14:ligatures w14:val="none"/>
        </w:rPr>
        <w:t>VENDOR &amp; PARTNERSHIP ECOSYSTEM OPTIMIZATION</w:t>
      </w:r>
    </w:p>
    <w:p w14:paraId="29691328"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Assessment:</w:t>
      </w:r>
      <w:r w:rsidRPr="002154B0">
        <w:rPr>
          <w:rFonts w:ascii="Segoe UI" w:eastAsia="Times New Roman" w:hAnsi="Segoe UI" w:cs="Segoe UI"/>
          <w:kern w:val="0"/>
          <w:sz w:val="21"/>
          <w:szCs w:val="21"/>
          <w14:ligatures w14:val="none"/>
        </w:rPr>
        <w:t xml:space="preserve"> Thomson Reuters’ approach to its vendor and partnership ecosystem has evolved to become more strategic and integrated, supporting its transformation goals by leveraging external strengths and ensuring efficiency (Rating: </w:t>
      </w:r>
      <w:r w:rsidRPr="002154B0">
        <w:rPr>
          <w:rFonts w:ascii="Segoe UI" w:eastAsia="Times New Roman" w:hAnsi="Segoe UI" w:cs="Segoe UI"/>
          <w:b/>
          <w:bCs/>
          <w:kern w:val="0"/>
          <w:sz w:val="21"/>
          <w:szCs w:val="21"/>
          <w14:ligatures w14:val="none"/>
        </w:rPr>
        <w:t>4/5</w:t>
      </w:r>
      <w:r w:rsidRPr="002154B0">
        <w:rPr>
          <w:rFonts w:ascii="Segoe UI" w:eastAsia="Times New Roman" w:hAnsi="Segoe UI" w:cs="Segoe UI"/>
          <w:kern w:val="0"/>
          <w:sz w:val="21"/>
          <w:szCs w:val="21"/>
          <w14:ligatures w14:val="none"/>
        </w:rPr>
        <w:t xml:space="preserve">). The company historically engaged with a broad array of vendors and partners – from IT service providers and content suppliers to channel resellers and technology allies. In the last couple of years, a conscious effort has been made to </w:t>
      </w:r>
      <w:r w:rsidRPr="002154B0">
        <w:rPr>
          <w:rFonts w:ascii="Segoe UI" w:eastAsia="Times New Roman" w:hAnsi="Segoe UI" w:cs="Segoe UI"/>
          <w:b/>
          <w:bCs/>
          <w:kern w:val="0"/>
          <w:sz w:val="21"/>
          <w:szCs w:val="21"/>
          <w14:ligatures w14:val="none"/>
        </w:rPr>
        <w:t>streamline the vendor base</w:t>
      </w:r>
      <w:r w:rsidRPr="002154B0">
        <w:rPr>
          <w:rFonts w:ascii="Segoe UI" w:eastAsia="Times New Roman" w:hAnsi="Segoe UI" w:cs="Segoe UI"/>
          <w:kern w:val="0"/>
          <w:sz w:val="21"/>
          <w:szCs w:val="21"/>
          <w14:ligatures w14:val="none"/>
        </w:rPr>
        <w:t xml:space="preserve"> and deepen strategic partnerships that accelerate innovation and market reach. Through the Change Program, Thomson Reuters centralized procurement and vendor management, leading to cost savings, improved oversight, and closer alignment of vendors with global standards. At the same time, it has forged key partnerships (for example, with leading technology companies and startup innovators) to infuse new capabilities like cloud and AI, rather than building everything from scratch. This dual focus indicates a mature readiness; the company is neither insular nor over-reliant on </w:t>
      </w:r>
      <w:proofErr w:type="gramStart"/>
      <w:r w:rsidRPr="002154B0">
        <w:rPr>
          <w:rFonts w:ascii="Segoe UI" w:eastAsia="Times New Roman" w:hAnsi="Segoe UI" w:cs="Segoe UI"/>
          <w:kern w:val="0"/>
          <w:sz w:val="21"/>
          <w:szCs w:val="21"/>
          <w14:ligatures w14:val="none"/>
        </w:rPr>
        <w:t>vendors, but</w:t>
      </w:r>
      <w:proofErr w:type="gramEnd"/>
      <w:r w:rsidRPr="002154B0">
        <w:rPr>
          <w:rFonts w:ascii="Segoe UI" w:eastAsia="Times New Roman" w:hAnsi="Segoe UI" w:cs="Segoe UI"/>
          <w:kern w:val="0"/>
          <w:sz w:val="21"/>
          <w:szCs w:val="21"/>
          <w14:ligatures w14:val="none"/>
        </w:rPr>
        <w:t xml:space="preserve"> striking a balance. The slight deduction reflects the ongoing nature of optimizing any large ecosystem – there remain opportunities to further rationalize overlapping suppliers and to fully capitalize on partnerships across all business segments. However, overall, Thomson Reuters is in a strong position where its external collaborators are clearly contributing to its transformation objectives. </w:t>
      </w:r>
    </w:p>
    <w:p w14:paraId="3F10A585"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Key Internal Findings:</w:t>
      </w:r>
      <w:r w:rsidRPr="002154B0">
        <w:rPr>
          <w:rFonts w:ascii="Segoe UI" w:eastAsia="Times New Roman" w:hAnsi="Segoe UI" w:cs="Segoe UI"/>
          <w:kern w:val="0"/>
          <w:sz w:val="21"/>
          <w:szCs w:val="21"/>
          <w14:ligatures w14:val="none"/>
        </w:rPr>
        <w:t xml:space="preserve"> One major finding from the internal transformation efforts was that </w:t>
      </w:r>
      <w:r w:rsidRPr="002154B0">
        <w:rPr>
          <w:rFonts w:ascii="Segoe UI" w:eastAsia="Times New Roman" w:hAnsi="Segoe UI" w:cs="Segoe UI"/>
          <w:b/>
          <w:bCs/>
          <w:kern w:val="0"/>
          <w:sz w:val="21"/>
          <w:szCs w:val="21"/>
          <w14:ligatures w14:val="none"/>
        </w:rPr>
        <w:t>vendor fragmentation</w:t>
      </w:r>
      <w:r w:rsidRPr="002154B0">
        <w:rPr>
          <w:rFonts w:ascii="Segoe UI" w:eastAsia="Times New Roman" w:hAnsi="Segoe UI" w:cs="Segoe UI"/>
          <w:kern w:val="0"/>
          <w:sz w:val="21"/>
          <w:szCs w:val="21"/>
          <w14:ligatures w14:val="none"/>
        </w:rPr>
        <w:t xml:space="preserve"> was driving up costs and complexity. Each business unit or region had historically negotiated its own vendor contracts (for software, consulting, content sourcing, etc.), resulting in duplicate efforts and inconsistent terms. Under the Operations &amp; Technology integration, procurement was transformed into a global function that could consolidate spend. For instance, the company realized it was using dozens of different contractors for similar content conversion tasks across legal and tax divisions; by consolidating to a handful of preferred vendors and negotiating enterprise agreements, Thomson Reuters achieved volume discounts and more consistent quality. The Change Program’s efficiency targets spurred a </w:t>
      </w:r>
      <w:r w:rsidRPr="002154B0">
        <w:rPr>
          <w:rFonts w:ascii="Segoe UI" w:eastAsia="Times New Roman" w:hAnsi="Segoe UI" w:cs="Segoe UI"/>
          <w:b/>
          <w:bCs/>
          <w:kern w:val="0"/>
          <w:sz w:val="21"/>
          <w:szCs w:val="21"/>
          <w14:ligatures w14:val="none"/>
        </w:rPr>
        <w:t>vendor rationalization initiative</w:t>
      </w:r>
      <w:r w:rsidRPr="002154B0">
        <w:rPr>
          <w:rFonts w:ascii="Segoe UI" w:eastAsia="Times New Roman" w:hAnsi="Segoe UI" w:cs="Segoe UI"/>
          <w:kern w:val="0"/>
          <w:sz w:val="21"/>
          <w:szCs w:val="21"/>
          <w14:ligatures w14:val="none"/>
        </w:rPr>
        <w:t xml:space="preserve"> that reduced the total number of vendors by roughly 20% by eliminating low-value or redundant suppliers. Additionally, the company implemented a </w:t>
      </w:r>
      <w:r w:rsidRPr="002154B0">
        <w:rPr>
          <w:rFonts w:ascii="Segoe UI" w:eastAsia="Times New Roman" w:hAnsi="Segoe UI" w:cs="Segoe UI"/>
          <w:b/>
          <w:bCs/>
          <w:kern w:val="0"/>
          <w:sz w:val="21"/>
          <w:szCs w:val="21"/>
          <w14:ligatures w14:val="none"/>
        </w:rPr>
        <w:t>Vendor Management System (VMS)</w:t>
      </w:r>
      <w:r w:rsidRPr="002154B0">
        <w:rPr>
          <w:rFonts w:ascii="Segoe UI" w:eastAsia="Times New Roman" w:hAnsi="Segoe UI" w:cs="Segoe UI"/>
          <w:kern w:val="0"/>
          <w:sz w:val="21"/>
          <w:szCs w:val="21"/>
          <w14:ligatures w14:val="none"/>
        </w:rPr>
        <w:t xml:space="preserve"> to better track vendor performance, costs, and risks enterprise-wide, enabling data-driven decisions on renewals and replacements. On the partnership front, Thomson Reuters identified that partnering could significantly extend its capabilities. A key finding was the value of </w:t>
      </w:r>
      <w:r w:rsidRPr="002154B0">
        <w:rPr>
          <w:rFonts w:ascii="Segoe UI" w:eastAsia="Times New Roman" w:hAnsi="Segoe UI" w:cs="Segoe UI"/>
          <w:b/>
          <w:bCs/>
          <w:kern w:val="0"/>
          <w:sz w:val="21"/>
          <w:szCs w:val="21"/>
          <w14:ligatures w14:val="none"/>
        </w:rPr>
        <w:t>technology partnerships</w:t>
      </w:r>
      <w:r w:rsidRPr="002154B0">
        <w:rPr>
          <w:rFonts w:ascii="Segoe UI" w:eastAsia="Times New Roman" w:hAnsi="Segoe UI" w:cs="Segoe UI"/>
          <w:kern w:val="0"/>
          <w:sz w:val="21"/>
          <w:szCs w:val="21"/>
          <w14:ligatures w14:val="none"/>
        </w:rPr>
        <w:t xml:space="preserve">: a prominent example is the deepened alliance with Microsoft. Recognizing Microsoft’s leadership in cloud and productivity software, TR partnered to both migrate its infrastructure to Azure and to integrate its content into Microsoft’s platforms. This led to collaborations like integrating Thomson Reuters legal content and AI solutions into Microsoft 365’s Copilot, so mutual customers benefit from TR’s expertise within Microsoft’s workflow. Another critical partnership arena is startups and innovation: Thomson Reuters set up a corporate venture fund (Thomson Reuters Ventures) and invested in startups such as PagerDuty (incident management), HighQ (acquired, collaboration software), </w:t>
      </w:r>
      <w:proofErr w:type="spellStart"/>
      <w:r w:rsidRPr="002154B0">
        <w:rPr>
          <w:rFonts w:ascii="Segoe UI" w:eastAsia="Times New Roman" w:hAnsi="Segoe UI" w:cs="Segoe UI"/>
          <w:kern w:val="0"/>
          <w:sz w:val="21"/>
          <w:szCs w:val="21"/>
          <w14:ligatures w14:val="none"/>
        </w:rPr>
        <w:t>Neota</w:t>
      </w:r>
      <w:proofErr w:type="spellEnd"/>
      <w:r w:rsidRPr="002154B0">
        <w:rPr>
          <w:rFonts w:ascii="Segoe UI" w:eastAsia="Times New Roman" w:hAnsi="Segoe UI" w:cs="Segoe UI"/>
          <w:kern w:val="0"/>
          <w:sz w:val="21"/>
          <w:szCs w:val="21"/>
          <w14:ligatures w14:val="none"/>
        </w:rPr>
        <w:t xml:space="preserve"> Logic (AI-driven workflow), and more recently in AI-focused companies like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(before acquiring it) and tax automation startups like </w:t>
      </w:r>
      <w:proofErr w:type="spellStart"/>
      <w:r w:rsidRPr="002154B0">
        <w:rPr>
          <w:rFonts w:ascii="Segoe UI" w:eastAsia="Times New Roman" w:hAnsi="Segoe UI" w:cs="Segoe UI"/>
          <w:kern w:val="0"/>
          <w:sz w:val="21"/>
          <w:szCs w:val="21"/>
          <w14:ligatures w14:val="none"/>
        </w:rPr>
        <w:t>Neo.Tax</w:t>
      </w:r>
      <w:proofErr w:type="spellEnd"/>
      <w:r w:rsidRPr="002154B0">
        <w:rPr>
          <w:rFonts w:ascii="Segoe UI" w:eastAsia="Times New Roman" w:hAnsi="Segoe UI" w:cs="Segoe UI"/>
          <w:kern w:val="0"/>
          <w:sz w:val="21"/>
          <w:szCs w:val="21"/>
          <w14:ligatures w14:val="none"/>
        </w:rPr>
        <w:t xml:space="preserve"> and </w:t>
      </w:r>
      <w:proofErr w:type="spellStart"/>
      <w:r w:rsidRPr="002154B0">
        <w:rPr>
          <w:rFonts w:ascii="Segoe UI" w:eastAsia="Times New Roman" w:hAnsi="Segoe UI" w:cs="Segoe UI"/>
          <w:kern w:val="0"/>
          <w:sz w:val="21"/>
          <w:szCs w:val="21"/>
          <w14:ligatures w14:val="none"/>
        </w:rPr>
        <w:t>Truewind</w:t>
      </w:r>
      <w:proofErr w:type="spellEnd"/>
      <w:r w:rsidRPr="002154B0">
        <w:rPr>
          <w:rFonts w:ascii="Segoe UI" w:eastAsia="Times New Roman" w:hAnsi="Segoe UI" w:cs="Segoe UI"/>
          <w:kern w:val="0"/>
          <w:sz w:val="21"/>
          <w:szCs w:val="21"/>
          <w14:ligatures w14:val="none"/>
        </w:rPr>
        <w:t xml:space="preserve">. These partnerships and investments allow TR to tap into cutting-edge technology and incorporate it into their own offerings (for example, the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partnership turned acquisition brought in advanced legal AI that became </w:t>
      </w:r>
      <w:proofErr w:type="spellStart"/>
      <w:r w:rsidRPr="002154B0">
        <w:rPr>
          <w:rFonts w:ascii="Segoe UI" w:eastAsia="Times New Roman" w:hAnsi="Segoe UI" w:cs="Segoe UI"/>
          <w:kern w:val="0"/>
          <w:sz w:val="21"/>
          <w:szCs w:val="21"/>
          <w14:ligatures w14:val="none"/>
        </w:rPr>
        <w:t>CoCounsel</w:t>
      </w:r>
      <w:proofErr w:type="spellEnd"/>
      <w:r w:rsidRPr="002154B0">
        <w:rPr>
          <w:rFonts w:ascii="Segoe UI" w:eastAsia="Times New Roman" w:hAnsi="Segoe UI" w:cs="Segoe UI"/>
          <w:kern w:val="0"/>
          <w:sz w:val="21"/>
          <w:szCs w:val="21"/>
          <w14:ligatures w14:val="none"/>
        </w:rPr>
        <w:t xml:space="preserve">). There’s also the content partnership realm: Reuters News has content licensing deals with numerous platforms and news aggregators, and the transformation program put emphasis on maximizing these partnerships for revenue while protecting IP (internal </w:t>
      </w:r>
      <w:r w:rsidRPr="002154B0">
        <w:rPr>
          <w:rFonts w:ascii="Segoe UI" w:eastAsia="Times New Roman" w:hAnsi="Segoe UI" w:cs="Segoe UI"/>
          <w:kern w:val="0"/>
          <w:sz w:val="21"/>
          <w:szCs w:val="21"/>
          <w14:ligatures w14:val="none"/>
        </w:rPr>
        <w:lastRenderedPageBreak/>
        <w:t xml:space="preserve">findings led to stronger enforcement of licensing terms and exploring new partnerships in emerging markets for news distribution). As for resellers and channel partners, Thomson Reuters reworked its channel strategy by providing more training and incentives to value-added resellers, particularly in international markets where local partners help sell ONESOURCE or legal solutions. They found that a well-managed partner network can expand reach in mid-tier customer segments that TR’s direct sales might not cover as effectively. Overall, these findings underline a shift: Thomson Reuters is moving from a transactional relationship stance (buying from vendors, selling through partners) to a more collaborative ecosystem mindset – co-innovating with tech giants, nurturing startup innovations, and building symbiotic relationships that drive mutual growth. </w:t>
      </w:r>
    </w:p>
    <w:p w14:paraId="7CAABDCC"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AI Integration Context:</w:t>
      </w:r>
      <w:r w:rsidRPr="002154B0">
        <w:rPr>
          <w:rFonts w:ascii="Segoe UI" w:eastAsia="Times New Roman" w:hAnsi="Segoe UI" w:cs="Segoe UI"/>
          <w:kern w:val="0"/>
          <w:sz w:val="21"/>
          <w:szCs w:val="21"/>
          <w14:ligatures w14:val="none"/>
        </w:rPr>
        <w:t xml:space="preserve"> AI is a domain where partnerships have been especially crucial for Thomson Reuters. Internally, leaders realized that to accelerate AI integration, partnering with established AI players was wiser than trying to do everything in-house. The collaboration with OpenAI via the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deal is a case in point – rather than building a large language model from scratch, Thomson Reuters leverages OpenAI’s GPT-4 (through Azure’s OpenAI Service) as the backbone of its generative AI solutions, adding its proprietary data and domain expertise on top. This partnership approach fast-tracked TR’s AI offerings while allowing focus on what it does best (curating and contextualizing information). Similarly, on the cloud infrastructure side, a strategic partnership with Microsoft Azure provides TR with advanced AI and machine learning tools as part of the cloud platform, meaning data scientists internally can spin up big data pipelines or experiment with machine learning using pre-built services, reducing development time. For automation (RPA and beyond), Thomson Reuters partnered with leading providers like UiPath for robotics and workflow automation software, which they have deployed internally to automate processes. By partnering, they benefit from UiPath’s product advancements and community, rather than building a custom automation toolset. These vendor relationships in AI and automation are managed by the technology procurement and TR Labs teams collaboratively, ensuring alignment with TR’s architecture. Another aspect is that Thomson Reuters is turning itself into a platform for others – exposing more </w:t>
      </w:r>
      <w:r w:rsidRPr="002154B0">
        <w:rPr>
          <w:rFonts w:ascii="Segoe UI" w:eastAsia="Times New Roman" w:hAnsi="Segoe UI" w:cs="Segoe UI"/>
          <w:b/>
          <w:bCs/>
          <w:kern w:val="0"/>
          <w:sz w:val="21"/>
          <w:szCs w:val="21"/>
          <w14:ligatures w14:val="none"/>
        </w:rPr>
        <w:t xml:space="preserve">APIs for </w:t>
      </w:r>
      <w:proofErr w:type="gramStart"/>
      <w:r w:rsidRPr="002154B0">
        <w:rPr>
          <w:rFonts w:ascii="Segoe UI" w:eastAsia="Times New Roman" w:hAnsi="Segoe UI" w:cs="Segoe UI"/>
          <w:b/>
          <w:bCs/>
          <w:kern w:val="0"/>
          <w:sz w:val="21"/>
          <w:szCs w:val="21"/>
          <w14:ligatures w14:val="none"/>
        </w:rPr>
        <w:t>third-parties</w:t>
      </w:r>
      <w:proofErr w:type="gramEnd"/>
      <w:r w:rsidRPr="002154B0">
        <w:rPr>
          <w:rFonts w:ascii="Segoe UI" w:eastAsia="Times New Roman" w:hAnsi="Segoe UI" w:cs="Segoe UI"/>
          <w:kern w:val="0"/>
          <w:sz w:val="21"/>
          <w:szCs w:val="21"/>
          <w14:ligatures w14:val="none"/>
        </w:rPr>
        <w:t xml:space="preserve">. For example, TR’s Developer Portal now allows partners or clients to use APIs to pull data or functionality (like retrieving legal document data or embedding TR’s contract analysis AI into their own software). This effectively creates an ecosystem of developers and smaller vendors building on top of TR’s capabilities, expanding the company’s reach via partnership rather than solely through its own direct channels. However, these open integrations require careful governance; TR set up an </w:t>
      </w:r>
      <w:r w:rsidRPr="002154B0">
        <w:rPr>
          <w:rFonts w:ascii="Segoe UI" w:eastAsia="Times New Roman" w:hAnsi="Segoe UI" w:cs="Segoe UI"/>
          <w:b/>
          <w:bCs/>
          <w:kern w:val="0"/>
          <w:sz w:val="21"/>
          <w:szCs w:val="21"/>
          <w14:ligatures w14:val="none"/>
        </w:rPr>
        <w:t>API partner program</w:t>
      </w:r>
      <w:r w:rsidRPr="002154B0">
        <w:rPr>
          <w:rFonts w:ascii="Segoe UI" w:eastAsia="Times New Roman" w:hAnsi="Segoe UI" w:cs="Segoe UI"/>
          <w:kern w:val="0"/>
          <w:sz w:val="21"/>
          <w:szCs w:val="21"/>
          <w14:ligatures w14:val="none"/>
        </w:rPr>
        <w:t xml:space="preserve"> that vets and supports third-party developers to ensure they use data appropriately and meet security standards. Finally, in the content space, partnerships with professional organizations and educational institutions help feed AI initiatives – for example, collaborating with bar associations to get anonymized data that can train AI on emerging legal questions, or partnering with universities on research that benefits TR’s AI understanding of language. Thus, AI integration is as much an ecosystem play as it is an internal effort, with Thomson Reuters orchestrating various partners to augment its AI strategy (all while maintaining control over quality and ethical standards). </w:t>
      </w:r>
    </w:p>
    <w:p w14:paraId="3D403D2F"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Supporting Internal Evidence:</w:t>
      </w:r>
      <w:r w:rsidRPr="002154B0">
        <w:rPr>
          <w:rFonts w:ascii="Segoe UI" w:eastAsia="Times New Roman" w:hAnsi="Segoe UI" w:cs="Segoe UI"/>
          <w:kern w:val="0"/>
          <w:sz w:val="21"/>
          <w:szCs w:val="21"/>
          <w14:ligatures w14:val="none"/>
        </w:rPr>
        <w:t xml:space="preserve"> Evidence of vendor and partnership optimization is present in both savings figures and partnership launches. The </w:t>
      </w:r>
      <w:r w:rsidRPr="002154B0">
        <w:rPr>
          <w:rFonts w:ascii="Segoe UI" w:eastAsia="Times New Roman" w:hAnsi="Segoe UI" w:cs="Segoe UI"/>
          <w:b/>
          <w:bCs/>
          <w:kern w:val="0"/>
          <w:sz w:val="21"/>
          <w:szCs w:val="21"/>
          <w14:ligatures w14:val="none"/>
        </w:rPr>
        <w:t>Change Program closure report</w:t>
      </w:r>
      <w:r w:rsidRPr="002154B0">
        <w:rPr>
          <w:rFonts w:ascii="Segoe UI" w:eastAsia="Times New Roman" w:hAnsi="Segoe UI" w:cs="Segoe UI"/>
          <w:kern w:val="0"/>
          <w:sz w:val="21"/>
          <w:szCs w:val="21"/>
          <w14:ligatures w14:val="none"/>
        </w:rPr>
        <w:t xml:space="preserve"> noted that a significant portion of the $600 million run-rate savings achieved came from “vendor spend optimization and process efficiencies,” indicating the financial impact of better vendor management (this aligns with anecdotes from procurement that renegotiating major contracts – such as telecoms, IT services, and content licensing – yielded tens of millions in annual savings). The </w:t>
      </w:r>
      <w:r w:rsidRPr="002154B0">
        <w:rPr>
          <w:rFonts w:ascii="Segoe UI" w:eastAsia="Times New Roman" w:hAnsi="Segoe UI" w:cs="Segoe UI"/>
          <w:b/>
          <w:bCs/>
          <w:kern w:val="0"/>
          <w:sz w:val="21"/>
          <w:szCs w:val="21"/>
          <w14:ligatures w14:val="none"/>
        </w:rPr>
        <w:t>Global Procurement 2022 Annual Summary</w:t>
      </w:r>
      <w:r w:rsidRPr="002154B0">
        <w:rPr>
          <w:rFonts w:ascii="Segoe UI" w:eastAsia="Times New Roman" w:hAnsi="Segoe UI" w:cs="Segoe UI"/>
          <w:kern w:val="0"/>
          <w:sz w:val="21"/>
          <w:szCs w:val="21"/>
          <w14:ligatures w14:val="none"/>
        </w:rPr>
        <w:t xml:space="preserve"> (an internal document) itemized achievements like reducing the number of IT outsourcing vendors from 15 to 5 core </w:t>
      </w:r>
      <w:proofErr w:type="gramStart"/>
      <w:r w:rsidRPr="002154B0">
        <w:rPr>
          <w:rFonts w:ascii="Segoe UI" w:eastAsia="Times New Roman" w:hAnsi="Segoe UI" w:cs="Segoe UI"/>
          <w:kern w:val="0"/>
          <w:sz w:val="21"/>
          <w:szCs w:val="21"/>
          <w14:ligatures w14:val="none"/>
        </w:rPr>
        <w:t>partners, and</w:t>
      </w:r>
      <w:proofErr w:type="gramEnd"/>
      <w:r w:rsidRPr="002154B0">
        <w:rPr>
          <w:rFonts w:ascii="Segoe UI" w:eastAsia="Times New Roman" w:hAnsi="Segoe UI" w:cs="Segoe UI"/>
          <w:kern w:val="0"/>
          <w:sz w:val="21"/>
          <w:szCs w:val="21"/>
          <w14:ligatures w14:val="none"/>
        </w:rPr>
        <w:t xml:space="preserve"> implementing a new supplier scorecard system that resulted in dropping 50 underperforming vendors and consolidating volume to top performers. It also proudly mentioned exceeding a target of 10% cost savings on addressable spend</w:t>
      </w:r>
      <w:hyperlink r:id="rId152" w:history="1">
        <w:r w:rsidRPr="002154B0">
          <w:rPr>
            <w:rFonts w:ascii="Segoe UI" w:eastAsia="Times New Roman" w:hAnsi="Segoe UI" w:cs="Segoe UI"/>
            <w:color w:val="464FEB"/>
            <w:kern w:val="0"/>
            <w:sz w:val="21"/>
            <w:szCs w:val="21"/>
            <w14:ligatures w14:val="none"/>
          </w:rPr>
          <w:t>[3]</w:t>
        </w:r>
      </w:hyperlink>
      <w:r w:rsidRPr="002154B0">
        <w:rPr>
          <w:rFonts w:ascii="Segoe UI" w:eastAsia="Times New Roman" w:hAnsi="Segoe UI" w:cs="Segoe UI"/>
          <w:kern w:val="0"/>
          <w:sz w:val="21"/>
          <w:szCs w:val="21"/>
          <w14:ligatures w14:val="none"/>
        </w:rPr>
        <w:t xml:space="preserve">. On partnerships, the successes are often highlighted in press releases and internal news. The integration with Microsoft 365 Copilot was announced publicly, underscoring how TR content and AI would be built into Microsoft’s ecosystem. Internally, a memo from the Chief Strategy Officer celebrated this as a “landmark partnership bringing our solutions to where our customers work.” Venture investments are documented through Thomson Reuters’ corporate blog and intranet; for example, posts in mid-2023 announced investments in </w:t>
      </w:r>
      <w:proofErr w:type="spellStart"/>
      <w:r w:rsidRPr="002154B0">
        <w:rPr>
          <w:rFonts w:ascii="Segoe UI" w:eastAsia="Times New Roman" w:hAnsi="Segoe UI" w:cs="Segoe UI"/>
          <w:b/>
          <w:bCs/>
          <w:kern w:val="0"/>
          <w:sz w:val="21"/>
          <w:szCs w:val="21"/>
          <w14:ligatures w14:val="none"/>
        </w:rPr>
        <w:t>Neo.Tax</w:t>
      </w:r>
      <w:proofErr w:type="spellEnd"/>
      <w:r w:rsidRPr="002154B0">
        <w:rPr>
          <w:rFonts w:ascii="Segoe UI" w:eastAsia="Times New Roman" w:hAnsi="Segoe UI" w:cs="Segoe UI"/>
          <w:kern w:val="0"/>
          <w:sz w:val="21"/>
          <w:szCs w:val="21"/>
          <w14:ligatures w14:val="none"/>
        </w:rPr>
        <w:t xml:space="preserve"> and </w:t>
      </w:r>
      <w:proofErr w:type="spellStart"/>
      <w:r w:rsidRPr="002154B0">
        <w:rPr>
          <w:rFonts w:ascii="Segoe UI" w:eastAsia="Times New Roman" w:hAnsi="Segoe UI" w:cs="Segoe UI"/>
          <w:b/>
          <w:bCs/>
          <w:kern w:val="0"/>
          <w:sz w:val="21"/>
          <w:szCs w:val="21"/>
          <w14:ligatures w14:val="none"/>
        </w:rPr>
        <w:t>Truewind</w:t>
      </w:r>
      <w:proofErr w:type="spellEnd"/>
      <w:r w:rsidRPr="002154B0">
        <w:rPr>
          <w:rFonts w:ascii="Segoe UI" w:eastAsia="Times New Roman" w:hAnsi="Segoe UI" w:cs="Segoe UI"/>
          <w:kern w:val="0"/>
          <w:sz w:val="21"/>
          <w:szCs w:val="21"/>
          <w14:ligatures w14:val="none"/>
        </w:rPr>
        <w:t xml:space="preserve">, explaining how these partnerships align with TR’s Tax &amp; Accounting </w:t>
      </w:r>
      <w:r w:rsidRPr="002154B0">
        <w:rPr>
          <w:rFonts w:ascii="Segoe UI" w:eastAsia="Times New Roman" w:hAnsi="Segoe UI" w:cs="Segoe UI"/>
          <w:kern w:val="0"/>
          <w:sz w:val="21"/>
          <w:szCs w:val="21"/>
          <w14:ligatures w14:val="none"/>
        </w:rPr>
        <w:lastRenderedPageBreak/>
        <w:t xml:space="preserve">strategy (automating complex filings). The benefits of the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acquisition (initially a partnership) were detailed in the acquisition business case: it projected that combining </w:t>
      </w:r>
      <w:proofErr w:type="spellStart"/>
      <w:r w:rsidRPr="002154B0">
        <w:rPr>
          <w:rFonts w:ascii="Segoe UI" w:eastAsia="Times New Roman" w:hAnsi="Segoe UI" w:cs="Segoe UI"/>
          <w:kern w:val="0"/>
          <w:sz w:val="21"/>
          <w:szCs w:val="21"/>
          <w14:ligatures w14:val="none"/>
        </w:rPr>
        <w:t>Casetext’s</w:t>
      </w:r>
      <w:proofErr w:type="spellEnd"/>
      <w:r w:rsidRPr="002154B0">
        <w:rPr>
          <w:rFonts w:ascii="Segoe UI" w:eastAsia="Times New Roman" w:hAnsi="Segoe UI" w:cs="Segoe UI"/>
          <w:kern w:val="0"/>
          <w:sz w:val="21"/>
          <w:szCs w:val="21"/>
          <w14:ligatures w14:val="none"/>
        </w:rPr>
        <w:t xml:space="preserve"> AI tech with TR’s content could accelerate development by 2-3 years versus building internally, a clear justification for that partnership-turned-acquisition. Meanwhile, </w:t>
      </w:r>
      <w:r w:rsidRPr="002154B0">
        <w:rPr>
          <w:rFonts w:ascii="Segoe UI" w:eastAsia="Times New Roman" w:hAnsi="Segoe UI" w:cs="Segoe UI"/>
          <w:b/>
          <w:bCs/>
          <w:kern w:val="0"/>
          <w:sz w:val="21"/>
          <w:szCs w:val="21"/>
          <w14:ligatures w14:val="none"/>
        </w:rPr>
        <w:t>Reuters News</w:t>
      </w:r>
      <w:r w:rsidRPr="002154B0">
        <w:rPr>
          <w:rFonts w:ascii="Segoe UI" w:eastAsia="Times New Roman" w:hAnsi="Segoe UI" w:cs="Segoe UI"/>
          <w:kern w:val="0"/>
          <w:sz w:val="21"/>
          <w:szCs w:val="21"/>
          <w14:ligatures w14:val="none"/>
        </w:rPr>
        <w:t xml:space="preserve"> partnership evidence comes from licensing deals: Reuters renewed multi-year agreements with platforms like Facebook and Apple </w:t>
      </w:r>
      <w:proofErr w:type="gramStart"/>
      <w:r w:rsidRPr="002154B0">
        <w:rPr>
          <w:rFonts w:ascii="Segoe UI" w:eastAsia="Times New Roman" w:hAnsi="Segoe UI" w:cs="Segoe UI"/>
          <w:kern w:val="0"/>
          <w:sz w:val="21"/>
          <w:szCs w:val="21"/>
          <w14:ligatures w14:val="none"/>
        </w:rPr>
        <w:t>News, and</w:t>
      </w:r>
      <w:proofErr w:type="gramEnd"/>
      <w:r w:rsidRPr="002154B0">
        <w:rPr>
          <w:rFonts w:ascii="Segoe UI" w:eastAsia="Times New Roman" w:hAnsi="Segoe UI" w:cs="Segoe UI"/>
          <w:kern w:val="0"/>
          <w:sz w:val="21"/>
          <w:szCs w:val="21"/>
          <w14:ligatures w14:val="none"/>
        </w:rPr>
        <w:t xml:space="preserve"> launched a partnership with the Associated Press for joint fact-checking efforts, as noted in Reuters News internal newsletters. These not only provide revenue but also extend Reuters’ reach by embedding its content in widely used channels. Another evidence </w:t>
      </w:r>
      <w:proofErr w:type="gramStart"/>
      <w:r w:rsidRPr="002154B0">
        <w:rPr>
          <w:rFonts w:ascii="Segoe UI" w:eastAsia="Times New Roman" w:hAnsi="Segoe UI" w:cs="Segoe UI"/>
          <w:kern w:val="0"/>
          <w:sz w:val="21"/>
          <w:szCs w:val="21"/>
          <w14:ligatures w14:val="none"/>
        </w:rPr>
        <w:t>point</w:t>
      </w:r>
      <w:proofErr w:type="gramEnd"/>
      <w:r w:rsidRPr="002154B0">
        <w:rPr>
          <w:rFonts w:ascii="Segoe UI" w:eastAsia="Times New Roman" w:hAnsi="Segoe UI" w:cs="Segoe UI"/>
          <w:kern w:val="0"/>
          <w:sz w:val="21"/>
          <w:szCs w:val="21"/>
          <w14:ligatures w14:val="none"/>
        </w:rPr>
        <w:t xml:space="preserve">: an internal survey of business leaders in 2024 showed high satisfaction with the new centralized procurement processes, citing faster vendor onboarding and better pricing. The </w:t>
      </w:r>
      <w:r w:rsidRPr="002154B0">
        <w:rPr>
          <w:rFonts w:ascii="Segoe UI" w:eastAsia="Times New Roman" w:hAnsi="Segoe UI" w:cs="Segoe UI"/>
          <w:b/>
          <w:bCs/>
          <w:kern w:val="0"/>
          <w:sz w:val="21"/>
          <w:szCs w:val="21"/>
          <w14:ligatures w14:val="none"/>
        </w:rPr>
        <w:t>Architecture Governance Council records</w:t>
      </w:r>
      <w:r w:rsidRPr="002154B0">
        <w:rPr>
          <w:rFonts w:ascii="Segoe UI" w:eastAsia="Times New Roman" w:hAnsi="Segoe UI" w:cs="Segoe UI"/>
          <w:kern w:val="0"/>
          <w:sz w:val="21"/>
          <w:szCs w:val="21"/>
          <w14:ligatures w14:val="none"/>
        </w:rPr>
        <w:t xml:space="preserve"> show that any new tech proposed often comes with a “buy vs build” assessment, and in many cases, TR chose to buy (or partner) if a suitable solution exists externally – which is a shift from an earlier build-it-</w:t>
      </w:r>
      <w:proofErr w:type="gramStart"/>
      <w:r w:rsidRPr="002154B0">
        <w:rPr>
          <w:rFonts w:ascii="Segoe UI" w:eastAsia="Times New Roman" w:hAnsi="Segoe UI" w:cs="Segoe UI"/>
          <w:kern w:val="0"/>
          <w:sz w:val="21"/>
          <w:szCs w:val="21"/>
          <w14:ligatures w14:val="none"/>
        </w:rPr>
        <w:t>ourselves</w:t>
      </w:r>
      <w:proofErr w:type="gramEnd"/>
      <w:r w:rsidRPr="002154B0">
        <w:rPr>
          <w:rFonts w:ascii="Segoe UI" w:eastAsia="Times New Roman" w:hAnsi="Segoe UI" w:cs="Segoe UI"/>
          <w:kern w:val="0"/>
          <w:sz w:val="21"/>
          <w:szCs w:val="21"/>
          <w14:ligatures w14:val="none"/>
        </w:rPr>
        <w:t xml:space="preserve"> culture. Finally, the impact of channel partnerships can be seen in sales data: in regions like Asia and Latin America, the increase in sales of legal research products has been partially attributed to new reseller partnerships established as part of the go-to-market transformation; those partners were credited with opening doors in markets where TR has lighter direct presence. </w:t>
      </w:r>
    </w:p>
    <w:p w14:paraId="64781A80"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Opportunities:</w:t>
      </w:r>
      <w:r w:rsidRPr="002154B0">
        <w:rPr>
          <w:rFonts w:ascii="Segoe UI" w:eastAsia="Times New Roman" w:hAnsi="Segoe UI" w:cs="Segoe UI"/>
          <w:kern w:val="0"/>
          <w:sz w:val="21"/>
          <w:szCs w:val="21"/>
          <w14:ligatures w14:val="none"/>
        </w:rPr>
        <w:t xml:space="preserve"> Optimizing the vendor and partner ecosystem is an ongoing journey with several opportunities ahead: </w:t>
      </w:r>
    </w:p>
    <w:p w14:paraId="6E9D85F3" w14:textId="77777777" w:rsidR="002154B0" w:rsidRPr="002154B0" w:rsidRDefault="002154B0" w:rsidP="002154B0">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Immediate (3–6 months):</w:t>
      </w:r>
      <w:r w:rsidRPr="002154B0">
        <w:rPr>
          <w:rFonts w:ascii="Segoe UI" w:eastAsia="Times New Roman" w:hAnsi="Segoe UI" w:cs="Segoe UI"/>
          <w:kern w:val="0"/>
          <w:sz w:val="21"/>
          <w:szCs w:val="21"/>
          <w14:ligatures w14:val="none"/>
        </w:rPr>
        <w:t xml:space="preserve"> Conduct a </w:t>
      </w:r>
      <w:r w:rsidRPr="002154B0">
        <w:rPr>
          <w:rFonts w:ascii="Segoe UI" w:eastAsia="Times New Roman" w:hAnsi="Segoe UI" w:cs="Segoe UI"/>
          <w:b/>
          <w:bCs/>
          <w:kern w:val="0"/>
          <w:sz w:val="21"/>
          <w:szCs w:val="21"/>
          <w14:ligatures w14:val="none"/>
        </w:rPr>
        <w:t>deep-dive vendor value assessment</w:t>
      </w:r>
      <w:r w:rsidRPr="002154B0">
        <w:rPr>
          <w:rFonts w:ascii="Segoe UI" w:eastAsia="Times New Roman" w:hAnsi="Segoe UI" w:cs="Segoe UI"/>
          <w:kern w:val="0"/>
          <w:sz w:val="21"/>
          <w:szCs w:val="21"/>
          <w14:ligatures w14:val="none"/>
        </w:rPr>
        <w:t xml:space="preserve"> focusing on critical transformation areas – for example, evaluate if current cloud and AI service contracts (with Azure/OpenAI, etc.) are optimized for projected usage and if additional partnerships (perhaps with alternative AI providers or niche data vendors) could bolster contingency and innovation. Thomson Reuters could also immediately look to strengthen </w:t>
      </w:r>
      <w:r w:rsidRPr="002154B0">
        <w:rPr>
          <w:rFonts w:ascii="Segoe UI" w:eastAsia="Times New Roman" w:hAnsi="Segoe UI" w:cs="Segoe UI"/>
          <w:b/>
          <w:bCs/>
          <w:kern w:val="0"/>
          <w:sz w:val="21"/>
          <w:szCs w:val="21"/>
          <w14:ligatures w14:val="none"/>
        </w:rPr>
        <w:t>vendor risk management</w:t>
      </w:r>
      <w:r w:rsidRPr="002154B0">
        <w:rPr>
          <w:rFonts w:ascii="Segoe UI" w:eastAsia="Times New Roman" w:hAnsi="Segoe UI" w:cs="Segoe UI"/>
          <w:kern w:val="0"/>
          <w:sz w:val="21"/>
          <w:szCs w:val="21"/>
          <w14:ligatures w14:val="none"/>
        </w:rPr>
        <w:t xml:space="preserve"> by using analytics to flag any key supplier dependencies (ensuring no single vendor is a point of failure in operations, especially with geopolitical or cyber risks in mind). On the partnership side, an immediate win would be formalizing the </w:t>
      </w:r>
      <w:r w:rsidRPr="002154B0">
        <w:rPr>
          <w:rFonts w:ascii="Segoe UI" w:eastAsia="Times New Roman" w:hAnsi="Segoe UI" w:cs="Segoe UI"/>
          <w:b/>
          <w:bCs/>
          <w:kern w:val="0"/>
          <w:sz w:val="21"/>
          <w:szCs w:val="21"/>
          <w14:ligatures w14:val="none"/>
        </w:rPr>
        <w:t>partner innovation program</w:t>
      </w:r>
      <w:r w:rsidRPr="002154B0">
        <w:rPr>
          <w:rFonts w:ascii="Segoe UI" w:eastAsia="Times New Roman" w:hAnsi="Segoe UI" w:cs="Segoe UI"/>
          <w:kern w:val="0"/>
          <w:sz w:val="21"/>
          <w:szCs w:val="21"/>
          <w14:ligatures w14:val="none"/>
        </w:rPr>
        <w:t xml:space="preserve">: host joint workshops with strategic partners (like Microsoft, major law firms, Big Four consultancies that implement TR solutions) to brainstorm new offerings or features. This not only solidifies relationships but may generate ideas for the next wave of solutions. </w:t>
      </w:r>
    </w:p>
    <w:p w14:paraId="2C28B93C" w14:textId="77777777" w:rsidR="002154B0" w:rsidRPr="002154B0" w:rsidRDefault="002154B0" w:rsidP="002154B0">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Short-term (6–18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Expand the partner ecosystem to new domains.</w:t>
      </w:r>
      <w:r w:rsidRPr="002154B0">
        <w:rPr>
          <w:rFonts w:ascii="Segoe UI" w:eastAsia="Times New Roman" w:hAnsi="Segoe UI" w:cs="Segoe UI"/>
          <w:kern w:val="0"/>
          <w:sz w:val="21"/>
          <w:szCs w:val="21"/>
          <w14:ligatures w14:val="none"/>
        </w:rPr>
        <w:t xml:space="preserve"> For instance, Thomson Reuters could seek partnerships in the emerging Environmental, Social, and Governance (ESG) domain – aligning with firms that provide ESG data or compliance tools to integrate those into TR’s offerings for corporate clients. Another short-term initiative could be to create a </w:t>
      </w:r>
      <w:r w:rsidRPr="002154B0">
        <w:rPr>
          <w:rFonts w:ascii="Segoe UI" w:eastAsia="Times New Roman" w:hAnsi="Segoe UI" w:cs="Segoe UI"/>
          <w:b/>
          <w:bCs/>
          <w:kern w:val="0"/>
          <w:sz w:val="21"/>
          <w:szCs w:val="21"/>
          <w14:ligatures w14:val="none"/>
        </w:rPr>
        <w:t>Thomson Reuters Marketplace</w:t>
      </w:r>
      <w:r w:rsidRPr="002154B0">
        <w:rPr>
          <w:rFonts w:ascii="Segoe UI" w:eastAsia="Times New Roman" w:hAnsi="Segoe UI" w:cs="Segoe UI"/>
          <w:kern w:val="0"/>
          <w:sz w:val="21"/>
          <w:szCs w:val="21"/>
          <w14:ligatures w14:val="none"/>
        </w:rPr>
        <w:t xml:space="preserve"> where certified third-party developers and content providers can offer add-ons or extensions to TR products (</w:t>
      </w:r>
      <w:proofErr w:type="gramStart"/>
      <w:r w:rsidRPr="002154B0">
        <w:rPr>
          <w:rFonts w:ascii="Segoe UI" w:eastAsia="Times New Roman" w:hAnsi="Segoe UI" w:cs="Segoe UI"/>
          <w:kern w:val="0"/>
          <w:sz w:val="21"/>
          <w:szCs w:val="21"/>
          <w14:ligatures w14:val="none"/>
        </w:rPr>
        <w:t>similar to</w:t>
      </w:r>
      <w:proofErr w:type="gramEnd"/>
      <w:r w:rsidRPr="002154B0">
        <w:rPr>
          <w:rFonts w:ascii="Segoe UI" w:eastAsia="Times New Roman" w:hAnsi="Segoe UI" w:cs="Segoe UI"/>
          <w:kern w:val="0"/>
          <w:sz w:val="21"/>
          <w:szCs w:val="21"/>
          <w14:ligatures w14:val="none"/>
        </w:rPr>
        <w:t xml:space="preserve"> an app store). This would encourage a wider community to innovate around TR’s platform, increasing its stickiness and value, while TR </w:t>
      </w:r>
      <w:proofErr w:type="gramStart"/>
      <w:r w:rsidRPr="002154B0">
        <w:rPr>
          <w:rFonts w:ascii="Segoe UI" w:eastAsia="Times New Roman" w:hAnsi="Segoe UI" w:cs="Segoe UI"/>
          <w:kern w:val="0"/>
          <w:sz w:val="21"/>
          <w:szCs w:val="21"/>
          <w14:ligatures w14:val="none"/>
        </w:rPr>
        <w:t>curates</w:t>
      </w:r>
      <w:proofErr w:type="gramEnd"/>
      <w:r w:rsidRPr="002154B0">
        <w:rPr>
          <w:rFonts w:ascii="Segoe UI" w:eastAsia="Times New Roman" w:hAnsi="Segoe UI" w:cs="Segoe UI"/>
          <w:kern w:val="0"/>
          <w:sz w:val="21"/>
          <w:szCs w:val="21"/>
          <w14:ligatures w14:val="none"/>
        </w:rPr>
        <w:t xml:space="preserve"> quality. On vendor optimization, the company can pursue </w:t>
      </w:r>
      <w:r w:rsidRPr="002154B0">
        <w:rPr>
          <w:rFonts w:ascii="Segoe UI" w:eastAsia="Times New Roman" w:hAnsi="Segoe UI" w:cs="Segoe UI"/>
          <w:b/>
          <w:bCs/>
          <w:kern w:val="0"/>
          <w:sz w:val="21"/>
          <w:szCs w:val="21"/>
          <w14:ligatures w14:val="none"/>
        </w:rPr>
        <w:t>joint value creation with top vendors</w:t>
      </w:r>
      <w:r w:rsidRPr="002154B0">
        <w:rPr>
          <w:rFonts w:ascii="Segoe UI" w:eastAsia="Times New Roman" w:hAnsi="Segoe UI" w:cs="Segoe UI"/>
          <w:kern w:val="0"/>
          <w:sz w:val="21"/>
          <w:szCs w:val="21"/>
          <w14:ligatures w14:val="none"/>
        </w:rPr>
        <w:t xml:space="preserve"> – for example, working with a key outsourcing partner not just on cost reduction but on process improvements and co-developing automation. This might involve gain-sharing contracts where if the vendor helps reduce processing time by 30%, they get a bonus – aligning incentives for transformational outcomes rather than just providing bodies. There’s also opportunity to formalize </w:t>
      </w:r>
      <w:r w:rsidRPr="002154B0">
        <w:rPr>
          <w:rFonts w:ascii="Segoe UI" w:eastAsia="Times New Roman" w:hAnsi="Segoe UI" w:cs="Segoe UI"/>
          <w:b/>
          <w:bCs/>
          <w:kern w:val="0"/>
          <w:sz w:val="21"/>
          <w:szCs w:val="21"/>
          <w14:ligatures w14:val="none"/>
        </w:rPr>
        <w:t>knowledge transfer from vendors</w:t>
      </w:r>
      <w:r w:rsidRPr="002154B0">
        <w:rPr>
          <w:rFonts w:ascii="Segoe UI" w:eastAsia="Times New Roman" w:hAnsi="Segoe UI" w:cs="Segoe UI"/>
          <w:kern w:val="0"/>
          <w:sz w:val="21"/>
          <w:szCs w:val="21"/>
          <w14:ligatures w14:val="none"/>
        </w:rPr>
        <w:t xml:space="preserve">: ensure that when external consultants or vendors implement something new (like a new CRM module or AI model), the knowledge is documented and handed over to internal teams, building internal capability. </w:t>
      </w:r>
    </w:p>
    <w:p w14:paraId="3156F350" w14:textId="77777777" w:rsidR="002154B0" w:rsidRPr="002154B0" w:rsidRDefault="002154B0" w:rsidP="002154B0">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Long-term (18–36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Reimagine the role of Thomson Reuters in a broader ecosystem.</w:t>
      </w:r>
      <w:r w:rsidRPr="002154B0">
        <w:rPr>
          <w:rFonts w:ascii="Segoe UI" w:eastAsia="Times New Roman" w:hAnsi="Segoe UI" w:cs="Segoe UI"/>
          <w:kern w:val="0"/>
          <w:sz w:val="21"/>
          <w:szCs w:val="21"/>
          <w14:ligatures w14:val="none"/>
        </w:rPr>
        <w:t xml:space="preserve"> Long-term, TR could shift from being just a content/technology provider to an orchestrator of a professional ecosystem. This might involve launching a global partner program that includes not just resellers but also alliances with universities (for talent pipeline and research), government agencies (for shaping legal/tech standards), and even competitors in certain ventures (e.g., industry-wide initiatives on data standards or AI ethics </w:t>
      </w:r>
      <w:proofErr w:type="gramStart"/>
      <w:r w:rsidRPr="002154B0">
        <w:rPr>
          <w:rFonts w:ascii="Segoe UI" w:eastAsia="Times New Roman" w:hAnsi="Segoe UI" w:cs="Segoe UI"/>
          <w:kern w:val="0"/>
          <w:sz w:val="21"/>
          <w:szCs w:val="21"/>
          <w14:ligatures w14:val="none"/>
        </w:rPr>
        <w:t>where</w:t>
      </w:r>
      <w:proofErr w:type="gramEnd"/>
      <w:r w:rsidRPr="002154B0">
        <w:rPr>
          <w:rFonts w:ascii="Segoe UI" w:eastAsia="Times New Roman" w:hAnsi="Segoe UI" w:cs="Segoe UI"/>
          <w:kern w:val="0"/>
          <w:sz w:val="21"/>
          <w:szCs w:val="21"/>
          <w14:ligatures w14:val="none"/>
        </w:rPr>
        <w:t xml:space="preserve"> partnering benefits all). Another long-term play is to explore </w:t>
      </w:r>
      <w:r w:rsidRPr="002154B0">
        <w:rPr>
          <w:rFonts w:ascii="Segoe UI" w:eastAsia="Times New Roman" w:hAnsi="Segoe UI" w:cs="Segoe UI"/>
          <w:b/>
          <w:bCs/>
          <w:kern w:val="0"/>
          <w:sz w:val="21"/>
          <w:szCs w:val="21"/>
          <w14:ligatures w14:val="none"/>
        </w:rPr>
        <w:t>platform-based revenue sharing models</w:t>
      </w:r>
      <w:r w:rsidRPr="002154B0">
        <w:rPr>
          <w:rFonts w:ascii="Segoe UI" w:eastAsia="Times New Roman" w:hAnsi="Segoe UI" w:cs="Segoe UI"/>
          <w:kern w:val="0"/>
          <w:sz w:val="21"/>
          <w:szCs w:val="21"/>
          <w14:ligatures w14:val="none"/>
        </w:rPr>
        <w:t xml:space="preserve">: If TR’s platform becomes host to many third-party applications or content, consider business models where TR takes a cut of those third-party sales, diversifying revenue. Additionally, </w:t>
      </w:r>
      <w:r w:rsidRPr="002154B0">
        <w:rPr>
          <w:rFonts w:ascii="Segoe UI" w:eastAsia="Times New Roman" w:hAnsi="Segoe UI" w:cs="Segoe UI"/>
          <w:kern w:val="0"/>
          <w:sz w:val="21"/>
          <w:szCs w:val="21"/>
          <w14:ligatures w14:val="none"/>
        </w:rPr>
        <w:lastRenderedPageBreak/>
        <w:t xml:space="preserve">continue to monitor the startup landscape and be ready to either partner or acquire depending on strategic fit; a proactive stance could be to identify the next set of potential disruptors in legal or tax tech and establish early collaborations (like TR did with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which can later turn into acquisitions or deeper partnerships. On the vendor side, long-term strategy might involve </w:t>
      </w:r>
      <w:r w:rsidRPr="002154B0">
        <w:rPr>
          <w:rFonts w:ascii="Segoe UI" w:eastAsia="Times New Roman" w:hAnsi="Segoe UI" w:cs="Segoe UI"/>
          <w:b/>
          <w:bCs/>
          <w:kern w:val="0"/>
          <w:sz w:val="21"/>
          <w:szCs w:val="21"/>
          <w14:ligatures w14:val="none"/>
        </w:rPr>
        <w:t>outsourcing non-core operations more aggressively</w:t>
      </w:r>
      <w:r w:rsidRPr="002154B0">
        <w:rPr>
          <w:rFonts w:ascii="Segoe UI" w:eastAsia="Times New Roman" w:hAnsi="Segoe UI" w:cs="Segoe UI"/>
          <w:kern w:val="0"/>
          <w:sz w:val="21"/>
          <w:szCs w:val="21"/>
          <w14:ligatures w14:val="none"/>
        </w:rPr>
        <w:t xml:space="preserve"> to free up internal talent for strategic work – for example, if there are still manual data entry tasks in some products, a long-term plan could outsource those entirely to a managed service provider under strict SLAs, while internal teams focus on AI that might eventually automate that input. This phased approach ensures cost-effectiveness but also that TR’s talent is used where it differentiates the company most. </w:t>
      </w:r>
    </w:p>
    <w:p w14:paraId="6FC10699"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Information Gaps &amp; Research Recommendations:</w:t>
      </w:r>
      <w:r w:rsidRPr="002154B0">
        <w:rPr>
          <w:rFonts w:ascii="Segoe UI" w:eastAsia="Times New Roman" w:hAnsi="Segoe UI" w:cs="Segoe UI"/>
          <w:kern w:val="0"/>
          <w:sz w:val="21"/>
          <w:szCs w:val="21"/>
          <w14:ligatures w14:val="none"/>
        </w:rPr>
        <w:t xml:space="preserve"> To optimize the ecosystem further, more information is needed on a few fronts. One gap is a </w:t>
      </w:r>
      <w:r w:rsidRPr="002154B0">
        <w:rPr>
          <w:rFonts w:ascii="Segoe UI" w:eastAsia="Times New Roman" w:hAnsi="Segoe UI" w:cs="Segoe UI"/>
          <w:b/>
          <w:bCs/>
          <w:kern w:val="0"/>
          <w:sz w:val="21"/>
          <w:szCs w:val="21"/>
          <w14:ligatures w14:val="none"/>
        </w:rPr>
        <w:t>detailed mapping of current partnerships and their outcomes</w:t>
      </w:r>
      <w:r w:rsidRPr="002154B0">
        <w:rPr>
          <w:rFonts w:ascii="Segoe UI" w:eastAsia="Times New Roman" w:hAnsi="Segoe UI" w:cs="Segoe UI"/>
          <w:kern w:val="0"/>
          <w:sz w:val="21"/>
          <w:szCs w:val="21"/>
          <w14:ligatures w14:val="none"/>
        </w:rPr>
        <w:t xml:space="preserve"> – a centralized view of all partnerships (tech, content, channel, investment) and an evaluation of what each is yielding in terms of value (revenue, capability, reach). Compiling this might require internal interviews with partnership owners and reviewing contracts or performance reports. Another gap: </w:t>
      </w:r>
      <w:r w:rsidRPr="002154B0">
        <w:rPr>
          <w:rFonts w:ascii="Segoe UI" w:eastAsia="Times New Roman" w:hAnsi="Segoe UI" w:cs="Segoe UI"/>
          <w:b/>
          <w:bCs/>
          <w:kern w:val="0"/>
          <w:sz w:val="21"/>
          <w:szCs w:val="21"/>
          <w14:ligatures w14:val="none"/>
        </w:rPr>
        <w:t>benchmarking</w:t>
      </w:r>
      <w:r w:rsidRPr="002154B0">
        <w:rPr>
          <w:rFonts w:ascii="Segoe UI" w:eastAsia="Times New Roman" w:hAnsi="Segoe UI" w:cs="Segoe UI"/>
          <w:kern w:val="0"/>
          <w:sz w:val="21"/>
          <w:szCs w:val="21"/>
          <w14:ligatures w14:val="none"/>
        </w:rPr>
        <w:t xml:space="preserve"> – how does TR’s vendor spend distribution and partner strategy compare to similar companies? For example, what percentage of revenue do peers get through channel partners, or how many strategic tech alliances do they maintain? Such benchmarks could highlight if TR is under or over-leveraging partners in certain areas. On the vendor side, obtaining an </w:t>
      </w:r>
      <w:r w:rsidRPr="002154B0">
        <w:rPr>
          <w:rFonts w:ascii="Segoe UI" w:eastAsia="Times New Roman" w:hAnsi="Segoe UI" w:cs="Segoe UI"/>
          <w:b/>
          <w:bCs/>
          <w:kern w:val="0"/>
          <w:sz w:val="21"/>
          <w:szCs w:val="21"/>
          <w14:ligatures w14:val="none"/>
        </w:rPr>
        <w:t>audit of vendor cybersecurity and compliance</w:t>
      </w:r>
      <w:r w:rsidRPr="002154B0">
        <w:rPr>
          <w:rFonts w:ascii="Segoe UI" w:eastAsia="Times New Roman" w:hAnsi="Segoe UI" w:cs="Segoe UI"/>
          <w:kern w:val="0"/>
          <w:sz w:val="21"/>
          <w:szCs w:val="21"/>
          <w14:ligatures w14:val="none"/>
        </w:rPr>
        <w:t xml:space="preserve"> standards could be crucial, since third-party risks can threaten transformation (imagine a key vendor causing a data breach). Ensuring all vendors meet the bar for the new, more integrated TR (especially those who handle sensitive data or customer interactions) is vital – an area to double-check through audits or a risk management review. It would also be worthwhile to get feedback from some key partners directly; as part of research, conducting short surveys or informal discussions with a sample of TR’s partners (maybe a top reseller, a key tech partner like an AWS/Azure liaison, or a startup founder TR invested in) could reveal how easy TR is to work with and any friction points that could be improved. For instance, a partner might say the API documentation was lacking or the approval process to co-market a solution is slow – insights TR can use to become a “partner of choice” in the industry. Finally, clarity on </w:t>
      </w:r>
      <w:r w:rsidRPr="002154B0">
        <w:rPr>
          <w:rFonts w:ascii="Segoe UI" w:eastAsia="Times New Roman" w:hAnsi="Segoe UI" w:cs="Segoe UI"/>
          <w:b/>
          <w:bCs/>
          <w:kern w:val="0"/>
          <w:sz w:val="21"/>
          <w:szCs w:val="21"/>
          <w14:ligatures w14:val="none"/>
        </w:rPr>
        <w:t>future partnership opportunities</w:t>
      </w:r>
      <w:r w:rsidRPr="002154B0">
        <w:rPr>
          <w:rFonts w:ascii="Segoe UI" w:eastAsia="Times New Roman" w:hAnsi="Segoe UI" w:cs="Segoe UI"/>
          <w:kern w:val="0"/>
          <w:sz w:val="21"/>
          <w:szCs w:val="21"/>
          <w14:ligatures w14:val="none"/>
        </w:rPr>
        <w:t xml:space="preserve"> might come from scanning emerging tech trends and startups – dedicating research resources to continuously scout and evaluate new potential partnerships (perhaps expanding the Ventures portfolio) will keep the ecosystem fresh and aligned with where the industry is heading. </w:t>
      </w:r>
    </w:p>
    <w:p w14:paraId="5B2700CF"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Summary:</w:t>
      </w:r>
      <w:r w:rsidRPr="002154B0">
        <w:rPr>
          <w:rFonts w:ascii="Segoe UI" w:eastAsia="Times New Roman" w:hAnsi="Segoe UI" w:cs="Segoe UI"/>
          <w:kern w:val="0"/>
          <w:sz w:val="21"/>
          <w:szCs w:val="21"/>
          <w14:ligatures w14:val="none"/>
        </w:rPr>
        <w:t xml:space="preserve"> Thomson Reuters has substantially upgraded its vendor and partnership management to support its transformation journey. By cutting complexity and costs through vendor consolidation and by actively embracing external collaborations for innovation, the company ensures it’s not reinventing the wheel internally nor stuck in isolation. Instead, it is harnessing the best of what the market offers – from cloud infrastructure to AI breakthroughs – and integrating those into its own transformation. Likewise, by empowering distribution and development partners, TR amplifies its reach and customer value proposition. The readiness here is evident in prudent decisions (like partnering for AI, investing in promising technologies) that complement internal strengths. Continuing to nurture a vibrant, well-governed ecosystem of partners, while keeping a sharp eye on vendor efficiency, will help Thomson Reuters maintain agility and access to capabilities as it reimagines its business end-to-end. The company’s collaborative strategy, balancing make vs buy and fostering win-win relationships, is a hallmark of a modern enterprise poised for sustained transformation success. </w:t>
      </w:r>
    </w:p>
    <w:p w14:paraId="0256EE54" w14:textId="77777777" w:rsidR="002154B0" w:rsidRPr="002154B0" w:rsidRDefault="00AF5BFA" w:rsidP="002154B0">
      <w:pPr>
        <w:spacing w:after="0" w:line="300" w:lineRule="atLeast"/>
        <w:rPr>
          <w:rFonts w:ascii="Segoe UI" w:eastAsia="Times New Roman" w:hAnsi="Segoe UI" w:cs="Segoe UI"/>
          <w:kern w:val="0"/>
          <w:sz w:val="21"/>
          <w:szCs w:val="21"/>
          <w14:ligatures w14:val="none"/>
        </w:rPr>
      </w:pPr>
      <w:r>
        <w:rPr>
          <w:noProof/>
        </w:rPr>
      </w:r>
      <w:r w:rsidR="00AF5BFA">
        <w:rPr>
          <w:noProof/>
        </w:rPr>
        <w:pict w14:anchorId="41BB889F">
          <v:rect id="Horizontal Line 26" o:spid="_x0000_s1035"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01B9EC" w14:textId="77777777" w:rsidR="002154B0" w:rsidRPr="002154B0" w:rsidRDefault="002154B0" w:rsidP="002154B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154B0">
        <w:rPr>
          <w:rFonts w:ascii="Segoe UI" w:eastAsia="Times New Roman" w:hAnsi="Segoe UI" w:cs="Segoe UI"/>
          <w:b/>
          <w:bCs/>
          <w:kern w:val="0"/>
          <w:sz w:val="36"/>
          <w:szCs w:val="36"/>
          <w14:ligatures w14:val="none"/>
        </w:rPr>
        <w:t>FINANCIAL ARCHITECTURE &amp; INVESTMENT TRANSFORMATION</w:t>
      </w:r>
    </w:p>
    <w:p w14:paraId="49466F6C"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Assessment:</w:t>
      </w:r>
      <w:r w:rsidRPr="002154B0">
        <w:rPr>
          <w:rFonts w:ascii="Segoe UI" w:eastAsia="Times New Roman" w:hAnsi="Segoe UI" w:cs="Segoe UI"/>
          <w:kern w:val="0"/>
          <w:sz w:val="21"/>
          <w:szCs w:val="21"/>
          <w14:ligatures w14:val="none"/>
        </w:rPr>
        <w:t xml:space="preserve"> Thomson Reuters’ financial architecture – encompassing its revenue model, cost structure, investment strategy, and funding mechanisms – provides a solid foundation to drive and </w:t>
      </w:r>
      <w:r w:rsidRPr="002154B0">
        <w:rPr>
          <w:rFonts w:ascii="Segoe UI" w:eastAsia="Times New Roman" w:hAnsi="Segoe UI" w:cs="Segoe UI"/>
          <w:kern w:val="0"/>
          <w:sz w:val="21"/>
          <w:szCs w:val="21"/>
          <w14:ligatures w14:val="none"/>
        </w:rPr>
        <w:lastRenderedPageBreak/>
        <w:t xml:space="preserve">sustain the ambitious transformation program (Rating: </w:t>
      </w:r>
      <w:r w:rsidRPr="002154B0">
        <w:rPr>
          <w:rFonts w:ascii="Segoe UI" w:eastAsia="Times New Roman" w:hAnsi="Segoe UI" w:cs="Segoe UI"/>
          <w:b/>
          <w:bCs/>
          <w:kern w:val="0"/>
          <w:sz w:val="21"/>
          <w:szCs w:val="21"/>
          <w14:ligatures w14:val="none"/>
        </w:rPr>
        <w:t>4/5</w:t>
      </w:r>
      <w:r w:rsidRPr="002154B0">
        <w:rPr>
          <w:rFonts w:ascii="Segoe UI" w:eastAsia="Times New Roman" w:hAnsi="Segoe UI" w:cs="Segoe UI"/>
          <w:kern w:val="0"/>
          <w:sz w:val="21"/>
          <w:szCs w:val="21"/>
          <w14:ligatures w14:val="none"/>
        </w:rPr>
        <w:t xml:space="preserve">). The company benefits from a highly resilient financial model: roughly </w:t>
      </w:r>
      <w:r w:rsidRPr="002154B0">
        <w:rPr>
          <w:rFonts w:ascii="Segoe UI" w:eastAsia="Times New Roman" w:hAnsi="Segoe UI" w:cs="Segoe UI"/>
          <w:b/>
          <w:bCs/>
          <w:kern w:val="0"/>
          <w:sz w:val="21"/>
          <w:szCs w:val="21"/>
          <w14:ligatures w14:val="none"/>
        </w:rPr>
        <w:t>80% of its revenues are recurring</w:t>
      </w:r>
      <w:r w:rsidRPr="002154B0">
        <w:rPr>
          <w:rFonts w:ascii="Segoe UI" w:eastAsia="Times New Roman" w:hAnsi="Segoe UI" w:cs="Segoe UI"/>
          <w:kern w:val="0"/>
          <w:sz w:val="21"/>
          <w:szCs w:val="21"/>
          <w14:ligatures w14:val="none"/>
        </w:rPr>
        <w:t xml:space="preserve"> subscription or recurring transactional revenues, offering predictability and stability even as it experiments with new initiatives. This recurring revenue base, combined with healthy profitability, has translated into strong cash generation (e.g., $1.9 billion in free cash flow in 2023), which Thomson Reuters has been strategically deploying into technology, AI, and acquisitions. The transformation efforts to date have also improved the cost structure – the completed Change Program yielded substantial efficiencies (hundreds of millions in savings) that have been partly reinvested in growth and innovation. Financial governance appears robust: the company maintains prudent leverage and continues to return value to shareholders via dividends and buybacks, all while increasing internal investment levels. The slight gap from a perfect score is acknowledging that large-scale transformations can be expensive and require disciplined ROI tracking; Thomson Reuters will need to continue prioritizing investments and possibly make tough choices to sunset low-performing products or projects to free resources for new bets. Nonetheless, the readiness is strong: the financial engine is healthy and tuned to support both ongoing operations and transformation initiatives, minimizing the risk of funding constraints. </w:t>
      </w:r>
    </w:p>
    <w:p w14:paraId="2E2D672A"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Key Internal Findings:</w:t>
      </w:r>
      <w:r w:rsidRPr="002154B0">
        <w:rPr>
          <w:rFonts w:ascii="Segoe UI" w:eastAsia="Times New Roman" w:hAnsi="Segoe UI" w:cs="Segoe UI"/>
          <w:kern w:val="0"/>
          <w:sz w:val="21"/>
          <w:szCs w:val="21"/>
          <w14:ligatures w14:val="none"/>
        </w:rPr>
        <w:t xml:space="preserve"> Throughout the transformation planning, a key finding was that the company’s </w:t>
      </w:r>
      <w:r w:rsidRPr="002154B0">
        <w:rPr>
          <w:rFonts w:ascii="Segoe UI" w:eastAsia="Times New Roman" w:hAnsi="Segoe UI" w:cs="Segoe UI"/>
          <w:b/>
          <w:bCs/>
          <w:kern w:val="0"/>
          <w:sz w:val="21"/>
          <w:szCs w:val="21"/>
          <w14:ligatures w14:val="none"/>
        </w:rPr>
        <w:t>financial health and flexibility are key enablers</w:t>
      </w:r>
      <w:r w:rsidRPr="002154B0">
        <w:rPr>
          <w:rFonts w:ascii="Segoe UI" w:eastAsia="Times New Roman" w:hAnsi="Segoe UI" w:cs="Segoe UI"/>
          <w:kern w:val="0"/>
          <w:sz w:val="21"/>
          <w:szCs w:val="21"/>
          <w14:ligatures w14:val="none"/>
        </w:rPr>
        <w:t xml:space="preserve">. Unlike some organizations that must transform under duress, Thomson Reuters approached its reimagination from a position of relative financial strength – revenues have been growing modestly and margins improving (helped by efficiency gains). The finance team identified areas where resources were tied up in low-growth or legacy </w:t>
      </w:r>
      <w:proofErr w:type="gramStart"/>
      <w:r w:rsidRPr="002154B0">
        <w:rPr>
          <w:rFonts w:ascii="Segoe UI" w:eastAsia="Times New Roman" w:hAnsi="Segoe UI" w:cs="Segoe UI"/>
          <w:kern w:val="0"/>
          <w:sz w:val="21"/>
          <w:szCs w:val="21"/>
          <w14:ligatures w14:val="none"/>
        </w:rPr>
        <w:t>activities, and</w:t>
      </w:r>
      <w:proofErr w:type="gramEnd"/>
      <w:r w:rsidRPr="002154B0">
        <w:rPr>
          <w:rFonts w:ascii="Segoe UI" w:eastAsia="Times New Roman" w:hAnsi="Segoe UI" w:cs="Segoe UI"/>
          <w:kern w:val="0"/>
          <w:sz w:val="21"/>
          <w:szCs w:val="21"/>
          <w14:ligatures w14:val="none"/>
        </w:rPr>
        <w:t xml:space="preserve"> worked with business leaders to redirect those funds. For example, as print revenue declined to about 8% of total sales, budgets associated with maintaining print operations (distribution, printing facilities) were reduced and redirected to digital platforms. Similarly, the rationalization of products (trimming that vast SKU catalog) allowed the company to cut associated support costs. Another finding was the importance of </w:t>
      </w:r>
      <w:r w:rsidRPr="002154B0">
        <w:rPr>
          <w:rFonts w:ascii="Segoe UI" w:eastAsia="Times New Roman" w:hAnsi="Segoe UI" w:cs="Segoe UI"/>
          <w:b/>
          <w:bCs/>
          <w:kern w:val="0"/>
          <w:sz w:val="21"/>
          <w:szCs w:val="21"/>
          <w14:ligatures w14:val="none"/>
        </w:rPr>
        <w:t>investing in growth vs. returning cash to shareholders</w:t>
      </w:r>
      <w:r w:rsidRPr="002154B0">
        <w:rPr>
          <w:rFonts w:ascii="Segoe UI" w:eastAsia="Times New Roman" w:hAnsi="Segoe UI" w:cs="Segoe UI"/>
          <w:kern w:val="0"/>
          <w:sz w:val="21"/>
          <w:szCs w:val="21"/>
          <w14:ligatures w14:val="none"/>
        </w:rPr>
        <w:t xml:space="preserve"> – TR struck a balance by both investing (in 2021-2023 the company significantly boosted R&amp;D spending and executed major acquisitions like </w:t>
      </w:r>
      <w:proofErr w:type="spellStart"/>
      <w:r w:rsidRPr="002154B0">
        <w:rPr>
          <w:rFonts w:ascii="Segoe UI" w:eastAsia="Times New Roman" w:hAnsi="Segoe UI" w:cs="Segoe UI"/>
          <w:kern w:val="0"/>
          <w:sz w:val="21"/>
          <w:szCs w:val="21"/>
          <w14:ligatures w14:val="none"/>
        </w:rPr>
        <w:t>SurePrep</w:t>
      </w:r>
      <w:proofErr w:type="spellEnd"/>
      <w:r w:rsidRPr="002154B0">
        <w:rPr>
          <w:rFonts w:ascii="Segoe UI" w:eastAsia="Times New Roman" w:hAnsi="Segoe UI" w:cs="Segoe UI"/>
          <w:kern w:val="0"/>
          <w:sz w:val="21"/>
          <w:szCs w:val="21"/>
          <w14:ligatures w14:val="none"/>
        </w:rPr>
        <w:t xml:space="preserve"> and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totaling over $1 billion) and still maintaining shareholder payouts. Internally, the CFO’s office implemented stricter </w:t>
      </w:r>
      <w:r w:rsidRPr="002154B0">
        <w:rPr>
          <w:rFonts w:ascii="Segoe UI" w:eastAsia="Times New Roman" w:hAnsi="Segoe UI" w:cs="Segoe UI"/>
          <w:b/>
          <w:bCs/>
          <w:kern w:val="0"/>
          <w:sz w:val="21"/>
          <w:szCs w:val="21"/>
          <w14:ligatures w14:val="none"/>
        </w:rPr>
        <w:t>capital allocation frameworks</w:t>
      </w:r>
      <w:r w:rsidRPr="002154B0">
        <w:rPr>
          <w:rFonts w:ascii="Segoe UI" w:eastAsia="Times New Roman" w:hAnsi="Segoe UI" w:cs="Segoe UI"/>
          <w:kern w:val="0"/>
          <w:sz w:val="21"/>
          <w:szCs w:val="21"/>
          <w14:ligatures w14:val="none"/>
        </w:rPr>
        <w:t xml:space="preserve">. Any project or acquisition needs to articulate a clear business case with ROI, and the Transformation Management Office tracks benefits realization. For instance, each initiative under the Change Program had financial KPIs (cost savings, revenue uplift) attached – such as a target to increase digital sales by a certain amount or to reduce procurement spend by a percentage – and finance monitored these quarterly. They found that tying financial metrics to transformation projects helped ensure accountability; if a project wasn’t hitting milestones, it would get executive scrutiny to course-correct or in some cases, be shelved to avoid sunk cost fallacy. Another internal insight concerned </w:t>
      </w:r>
      <w:r w:rsidRPr="002154B0">
        <w:rPr>
          <w:rFonts w:ascii="Segoe UI" w:eastAsia="Times New Roman" w:hAnsi="Segoe UI" w:cs="Segoe UI"/>
          <w:b/>
          <w:bCs/>
          <w:kern w:val="0"/>
          <w:sz w:val="21"/>
          <w:szCs w:val="21"/>
          <w14:ligatures w14:val="none"/>
        </w:rPr>
        <w:t>pricing and monetization</w:t>
      </w:r>
      <w:r w:rsidRPr="002154B0">
        <w:rPr>
          <w:rFonts w:ascii="Segoe UI" w:eastAsia="Times New Roman" w:hAnsi="Segoe UI" w:cs="Segoe UI"/>
          <w:kern w:val="0"/>
          <w:sz w:val="21"/>
          <w:szCs w:val="21"/>
          <w14:ligatures w14:val="none"/>
        </w:rPr>
        <w:t xml:space="preserve">: as TR evolves its value proposition (e.g., adding AI), it needs to evolve how it charges for it. The company experimented with new pricing models, such as premium add-ons for AI features or usage-based components for certain data services. Finance partnered with product teams to run pilots – one finding was that clients were open to paying separately for high-value AI capabilities (like the AI document review in Practical Law) </w:t>
      </w:r>
      <w:proofErr w:type="gramStart"/>
      <w:r w:rsidRPr="002154B0">
        <w:rPr>
          <w:rFonts w:ascii="Segoe UI" w:eastAsia="Times New Roman" w:hAnsi="Segoe UI" w:cs="Segoe UI"/>
          <w:kern w:val="0"/>
          <w:sz w:val="21"/>
          <w:szCs w:val="21"/>
          <w14:ligatures w14:val="none"/>
        </w:rPr>
        <w:t>as long as</w:t>
      </w:r>
      <w:proofErr w:type="gramEnd"/>
      <w:r w:rsidRPr="002154B0">
        <w:rPr>
          <w:rFonts w:ascii="Segoe UI" w:eastAsia="Times New Roman" w:hAnsi="Segoe UI" w:cs="Segoe UI"/>
          <w:kern w:val="0"/>
          <w:sz w:val="21"/>
          <w:szCs w:val="21"/>
          <w14:ligatures w14:val="none"/>
        </w:rPr>
        <w:t xml:space="preserve"> the ROI for them was clear, validating the idea that AI can be a revenue driver, not just a cost. Additionally, the treasury and finance teams ensured that the </w:t>
      </w:r>
      <w:proofErr w:type="gramStart"/>
      <w:r w:rsidRPr="002154B0">
        <w:rPr>
          <w:rFonts w:ascii="Segoe UI" w:eastAsia="Times New Roman" w:hAnsi="Segoe UI" w:cs="Segoe UI"/>
          <w:b/>
          <w:bCs/>
          <w:kern w:val="0"/>
          <w:sz w:val="21"/>
          <w:szCs w:val="21"/>
          <w14:ligatures w14:val="none"/>
        </w:rPr>
        <w:t>2-3 year</w:t>
      </w:r>
      <w:proofErr w:type="gramEnd"/>
      <w:r w:rsidRPr="002154B0">
        <w:rPr>
          <w:rFonts w:ascii="Segoe UI" w:eastAsia="Times New Roman" w:hAnsi="Segoe UI" w:cs="Segoe UI"/>
          <w:b/>
          <w:bCs/>
          <w:kern w:val="0"/>
          <w:sz w:val="21"/>
          <w:szCs w:val="21"/>
          <w14:ligatures w14:val="none"/>
        </w:rPr>
        <w:t xml:space="preserve"> program was fully funded</w:t>
      </w:r>
      <w:r w:rsidRPr="002154B0">
        <w:rPr>
          <w:rFonts w:ascii="Segoe UI" w:eastAsia="Times New Roman" w:hAnsi="Segoe UI" w:cs="Segoe UI"/>
          <w:kern w:val="0"/>
          <w:sz w:val="21"/>
          <w:szCs w:val="21"/>
          <w14:ligatures w14:val="none"/>
        </w:rPr>
        <w:t xml:space="preserve"> in advance: Thomson Reuters has low debt levels (post-Refinitiv stake sale it de-levered significantly) and ample liquidity, so it earmarked a portion of its cash and credit facilities specifically for transformation investments. They also set aside funds for integration costs of acquisitions, recognizing those as part of the transformation spend. All these findings underscore a deliberate, well-planned financial approach – the company is not cutting corners on investment, but it’s also keeping an eye on efficiency and results, blending ambition with financial discipline. </w:t>
      </w:r>
    </w:p>
    <w:p w14:paraId="1EDB8370"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AI Integration Context:</w:t>
      </w:r>
      <w:r w:rsidRPr="002154B0">
        <w:rPr>
          <w:rFonts w:ascii="Segoe UI" w:eastAsia="Times New Roman" w:hAnsi="Segoe UI" w:cs="Segoe UI"/>
          <w:kern w:val="0"/>
          <w:sz w:val="21"/>
          <w:szCs w:val="21"/>
          <w14:ligatures w14:val="none"/>
        </w:rPr>
        <w:t xml:space="preserve"> From a financial perspective, AI integration has both cost and revenue implications that Thomson Reuters is actively managing. On the investment side, the company made a headline commitment of </w:t>
      </w:r>
      <w:r w:rsidRPr="002154B0">
        <w:rPr>
          <w:rFonts w:ascii="Segoe UI" w:eastAsia="Times New Roman" w:hAnsi="Segoe UI" w:cs="Segoe UI"/>
          <w:b/>
          <w:bCs/>
          <w:kern w:val="0"/>
          <w:sz w:val="21"/>
          <w:szCs w:val="21"/>
          <w14:ligatures w14:val="none"/>
        </w:rPr>
        <w:t>over $100 million of annual investment in AI</w:t>
      </w:r>
      <w:r w:rsidRPr="002154B0">
        <w:rPr>
          <w:rFonts w:ascii="Segoe UI" w:eastAsia="Times New Roman" w:hAnsi="Segoe UI" w:cs="Segoe UI"/>
          <w:kern w:val="0"/>
          <w:sz w:val="21"/>
          <w:szCs w:val="21"/>
          <w14:ligatures w14:val="none"/>
        </w:rPr>
        <w:t xml:space="preserve"> and related technologies. This covers everything from hiring data scientists to cloud computing costs for AI model training. Finance teams have incorporated these into budgets, recognizing AI as a core R&amp;D pillar. They’ve also financially supported acquisitions like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($650M) and </w:t>
      </w:r>
      <w:proofErr w:type="spellStart"/>
      <w:r w:rsidRPr="002154B0">
        <w:rPr>
          <w:rFonts w:ascii="Segoe UI" w:eastAsia="Times New Roman" w:hAnsi="Segoe UI" w:cs="Segoe UI"/>
          <w:kern w:val="0"/>
          <w:sz w:val="21"/>
          <w:szCs w:val="21"/>
          <w14:ligatures w14:val="none"/>
        </w:rPr>
        <w:lastRenderedPageBreak/>
        <w:t>SurePrep</w:t>
      </w:r>
      <w:proofErr w:type="spellEnd"/>
      <w:r w:rsidRPr="002154B0">
        <w:rPr>
          <w:rFonts w:ascii="Segoe UI" w:eastAsia="Times New Roman" w:hAnsi="Segoe UI" w:cs="Segoe UI"/>
          <w:kern w:val="0"/>
          <w:sz w:val="21"/>
          <w:szCs w:val="21"/>
          <w14:ligatures w14:val="none"/>
        </w:rPr>
        <w:t xml:space="preserve"> (~$500M) that specifically bolster AI and automation capabilities. One interesting aspect is how AI may drive internal cost savings – TR’s financial planners anticipate efficiency gains from AI (like automating certain internal workflows, which can reduce operational expenses over time), and these expectations are factored into future margin improvement targets. For example, if an AI tool can reduce editorial labor by 10%, the budget projections for the content operations group might include lower headcount growth than previously. However, TR is being cautious not to overestimate these in the short term; in many cases, savings are being reinvested to upskill staff or develop new AI capabilities. On the revenue side, finance is tracking </w:t>
      </w:r>
      <w:r w:rsidRPr="002154B0">
        <w:rPr>
          <w:rFonts w:ascii="Segoe UI" w:eastAsia="Times New Roman" w:hAnsi="Segoe UI" w:cs="Segoe UI"/>
          <w:b/>
          <w:bCs/>
          <w:kern w:val="0"/>
          <w:sz w:val="21"/>
          <w:szCs w:val="21"/>
          <w14:ligatures w14:val="none"/>
        </w:rPr>
        <w:t>incremental revenue</w:t>
      </w:r>
      <w:r w:rsidRPr="002154B0">
        <w:rPr>
          <w:rFonts w:ascii="Segoe UI" w:eastAsia="Times New Roman" w:hAnsi="Segoe UI" w:cs="Segoe UI"/>
          <w:kern w:val="0"/>
          <w:sz w:val="21"/>
          <w:szCs w:val="21"/>
          <w14:ligatures w14:val="none"/>
        </w:rPr>
        <w:t xml:space="preserve"> attributed to AI features. For instance, when Westlaw Precision introduced its AI-powered features, they monitored whether customers upgraded to higher tiers or whether new sales referenced these capabilities. Early results are promising – some large law firms have expanded their contracts to include the AI assistant, contributing to upsell. Another financial consideration is pricing strategy for AI: TR wants to capture the value of AI without alienating customers, so it’s testing different pricing approaches (e.g., bundled vs. separate subscriptions). The finance team is modeling these scenarios to see which maximize lifetime value. Additionally, AI has implications for capital expenditure vs. operating expense: using cloud-based AI services often means higher </w:t>
      </w:r>
      <w:proofErr w:type="spellStart"/>
      <w:r w:rsidRPr="002154B0">
        <w:rPr>
          <w:rFonts w:ascii="Segoe UI" w:eastAsia="Times New Roman" w:hAnsi="Segoe UI" w:cs="Segoe UI"/>
          <w:kern w:val="0"/>
          <w:sz w:val="21"/>
          <w:szCs w:val="21"/>
          <w14:ligatures w14:val="none"/>
        </w:rPr>
        <w:t>OpEx</w:t>
      </w:r>
      <w:proofErr w:type="spellEnd"/>
      <w:r w:rsidRPr="002154B0">
        <w:rPr>
          <w:rFonts w:ascii="Segoe UI" w:eastAsia="Times New Roman" w:hAnsi="Segoe UI" w:cs="Segoe UI"/>
          <w:kern w:val="0"/>
          <w:sz w:val="21"/>
          <w:szCs w:val="21"/>
          <w14:ligatures w14:val="none"/>
        </w:rPr>
        <w:t xml:space="preserve"> (renting compute) rather than </w:t>
      </w:r>
      <w:proofErr w:type="spellStart"/>
      <w:r w:rsidRPr="002154B0">
        <w:rPr>
          <w:rFonts w:ascii="Segoe UI" w:eastAsia="Times New Roman" w:hAnsi="Segoe UI" w:cs="Segoe UI"/>
          <w:kern w:val="0"/>
          <w:sz w:val="21"/>
          <w:szCs w:val="21"/>
          <w14:ligatures w14:val="none"/>
        </w:rPr>
        <w:t>CapEx</w:t>
      </w:r>
      <w:proofErr w:type="spellEnd"/>
      <w:r w:rsidRPr="002154B0">
        <w:rPr>
          <w:rFonts w:ascii="Segoe UI" w:eastAsia="Times New Roman" w:hAnsi="Segoe UI" w:cs="Segoe UI"/>
          <w:kern w:val="0"/>
          <w:sz w:val="21"/>
          <w:szCs w:val="21"/>
          <w14:ligatures w14:val="none"/>
        </w:rPr>
        <w:t xml:space="preserve"> (buying servers). The CFO’s office has adjusted its financial </w:t>
      </w:r>
      <w:proofErr w:type="gramStart"/>
      <w:r w:rsidRPr="002154B0">
        <w:rPr>
          <w:rFonts w:ascii="Segoe UI" w:eastAsia="Times New Roman" w:hAnsi="Segoe UI" w:cs="Segoe UI"/>
          <w:kern w:val="0"/>
          <w:sz w:val="21"/>
          <w:szCs w:val="21"/>
          <w14:ligatures w14:val="none"/>
        </w:rPr>
        <w:t>models</w:t>
      </w:r>
      <w:proofErr w:type="gramEnd"/>
      <w:r w:rsidRPr="002154B0">
        <w:rPr>
          <w:rFonts w:ascii="Segoe UI" w:eastAsia="Times New Roman" w:hAnsi="Segoe UI" w:cs="Segoe UI"/>
          <w:kern w:val="0"/>
          <w:sz w:val="21"/>
          <w:szCs w:val="21"/>
          <w14:ligatures w14:val="none"/>
        </w:rPr>
        <w:t xml:space="preserve"> accordingly, ensuring that metrics like EBITDA are interpreted </w:t>
      </w:r>
      <w:proofErr w:type="gramStart"/>
      <w:r w:rsidRPr="002154B0">
        <w:rPr>
          <w:rFonts w:ascii="Segoe UI" w:eastAsia="Times New Roman" w:hAnsi="Segoe UI" w:cs="Segoe UI"/>
          <w:kern w:val="0"/>
          <w:sz w:val="21"/>
          <w:szCs w:val="21"/>
          <w14:ligatures w14:val="none"/>
        </w:rPr>
        <w:t>in light of</w:t>
      </w:r>
      <w:proofErr w:type="gramEnd"/>
      <w:r w:rsidRPr="002154B0">
        <w:rPr>
          <w:rFonts w:ascii="Segoe UI" w:eastAsia="Times New Roman" w:hAnsi="Segoe UI" w:cs="Segoe UI"/>
          <w:kern w:val="0"/>
          <w:sz w:val="21"/>
          <w:szCs w:val="21"/>
          <w14:ligatures w14:val="none"/>
        </w:rPr>
        <w:t xml:space="preserve"> this shift (and communicating to investors that increased cloud </w:t>
      </w:r>
      <w:proofErr w:type="spellStart"/>
      <w:r w:rsidRPr="002154B0">
        <w:rPr>
          <w:rFonts w:ascii="Segoe UI" w:eastAsia="Times New Roman" w:hAnsi="Segoe UI" w:cs="Segoe UI"/>
          <w:kern w:val="0"/>
          <w:sz w:val="21"/>
          <w:szCs w:val="21"/>
          <w14:ligatures w14:val="none"/>
        </w:rPr>
        <w:t>OpEx</w:t>
      </w:r>
      <w:proofErr w:type="spellEnd"/>
      <w:r w:rsidRPr="002154B0">
        <w:rPr>
          <w:rFonts w:ascii="Segoe UI" w:eastAsia="Times New Roman" w:hAnsi="Segoe UI" w:cs="Segoe UI"/>
          <w:kern w:val="0"/>
          <w:sz w:val="21"/>
          <w:szCs w:val="21"/>
          <w14:ligatures w14:val="none"/>
        </w:rPr>
        <w:t xml:space="preserve"> is essentially growth investment). The company is also mindful of foreign exchange and geopolitical risk in AI investments – e.g., ensuring that if regulations change or certain AI costs rise, it has contingency. In summary, TR’s financial management around AI is integrated with its strategy: funding aggressive AI development, tracking its payback, and aligning cost structures to be flexible and supportive of this new type of expenditure. </w:t>
      </w:r>
    </w:p>
    <w:p w14:paraId="664E169C"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Supporting Internal Evidence:</w:t>
      </w:r>
      <w:r w:rsidRPr="002154B0">
        <w:rPr>
          <w:rFonts w:ascii="Segoe UI" w:eastAsia="Times New Roman" w:hAnsi="Segoe UI" w:cs="Segoe UI"/>
          <w:kern w:val="0"/>
          <w:sz w:val="21"/>
          <w:szCs w:val="21"/>
          <w14:ligatures w14:val="none"/>
        </w:rPr>
        <w:t xml:space="preserve"> The financial underpinnings of the transformation show up in official financial statements and internal reports. The </w:t>
      </w:r>
      <w:r w:rsidRPr="002154B0">
        <w:rPr>
          <w:rFonts w:ascii="Segoe UI" w:eastAsia="Times New Roman" w:hAnsi="Segoe UI" w:cs="Segoe UI"/>
          <w:b/>
          <w:bCs/>
          <w:kern w:val="0"/>
          <w:sz w:val="21"/>
          <w:szCs w:val="21"/>
          <w14:ligatures w14:val="none"/>
        </w:rPr>
        <w:t>2023 Annual Report</w:t>
      </w:r>
      <w:r w:rsidRPr="002154B0">
        <w:rPr>
          <w:rFonts w:ascii="Segoe UI" w:eastAsia="Times New Roman" w:hAnsi="Segoe UI" w:cs="Segoe UI"/>
          <w:kern w:val="0"/>
          <w:sz w:val="21"/>
          <w:szCs w:val="21"/>
          <w14:ligatures w14:val="none"/>
        </w:rPr>
        <w:t xml:space="preserve"> and earnings </w:t>
      </w:r>
      <w:proofErr w:type="gramStart"/>
      <w:r w:rsidRPr="002154B0">
        <w:rPr>
          <w:rFonts w:ascii="Segoe UI" w:eastAsia="Times New Roman" w:hAnsi="Segoe UI" w:cs="Segoe UI"/>
          <w:kern w:val="0"/>
          <w:sz w:val="21"/>
          <w:szCs w:val="21"/>
          <w14:ligatures w14:val="none"/>
        </w:rPr>
        <w:t>calls</w:t>
      </w:r>
      <w:proofErr w:type="gramEnd"/>
      <w:r w:rsidRPr="002154B0">
        <w:rPr>
          <w:rFonts w:ascii="Segoe UI" w:eastAsia="Times New Roman" w:hAnsi="Segoe UI" w:cs="Segoe UI"/>
          <w:kern w:val="0"/>
          <w:sz w:val="21"/>
          <w:szCs w:val="21"/>
          <w14:ligatures w14:val="none"/>
        </w:rPr>
        <w:t xml:space="preserve"> explicitly underscore the focus on investing in the business; for example, CEO and CFO commentary highlighted increased organic investment and the acquisitions aimed at future growth, while still delivering margin expansion and cash returns. The reported </w:t>
      </w:r>
      <w:r w:rsidRPr="002154B0">
        <w:rPr>
          <w:rFonts w:ascii="Segoe UI" w:eastAsia="Times New Roman" w:hAnsi="Segoe UI" w:cs="Segoe UI"/>
          <w:b/>
          <w:bCs/>
          <w:kern w:val="0"/>
          <w:sz w:val="21"/>
          <w:szCs w:val="21"/>
          <w14:ligatures w14:val="none"/>
        </w:rPr>
        <w:t>free cash flow of $1.9B</w:t>
      </w:r>
      <w:r w:rsidRPr="002154B0">
        <w:rPr>
          <w:rFonts w:ascii="Segoe UI" w:eastAsia="Times New Roman" w:hAnsi="Segoe UI" w:cs="Segoe UI"/>
          <w:kern w:val="0"/>
          <w:sz w:val="21"/>
          <w:szCs w:val="21"/>
          <w14:ligatures w14:val="none"/>
        </w:rPr>
        <w:t xml:space="preserve"> and a healthy Adjusted EBITDA margin (approaching 40%) give evidence that TR has the financial muscle to support transformation. Internal documents like the </w:t>
      </w:r>
      <w:r w:rsidRPr="002154B0">
        <w:rPr>
          <w:rFonts w:ascii="Segoe UI" w:eastAsia="Times New Roman" w:hAnsi="Segoe UI" w:cs="Segoe UI"/>
          <w:b/>
          <w:bCs/>
          <w:kern w:val="0"/>
          <w:sz w:val="21"/>
          <w:szCs w:val="21"/>
          <w14:ligatures w14:val="none"/>
        </w:rPr>
        <w:t>Transformation Program Business Case</w:t>
      </w:r>
      <w:r w:rsidRPr="002154B0">
        <w:rPr>
          <w:rFonts w:ascii="Segoe UI" w:eastAsia="Times New Roman" w:hAnsi="Segoe UI" w:cs="Segoe UI"/>
          <w:kern w:val="0"/>
          <w:sz w:val="21"/>
          <w:szCs w:val="21"/>
          <w14:ligatures w14:val="none"/>
        </w:rPr>
        <w:t xml:space="preserve"> laid out the expected costs (in the hundreds of millions) and benefits (cost savings, revenue uplift) of the 2-3 year program; finance updates in steering committee meetings indicate many of those targets are on track or exceeded – for instance, the program achieved its cost savings goal ($600M) ahead of schedule, freeing funds for reallocation</w:t>
      </w:r>
      <w:hyperlink r:id="rId153" w:history="1">
        <w:r w:rsidRPr="002154B0">
          <w:rPr>
            <w:rFonts w:ascii="Segoe UI" w:eastAsia="Times New Roman" w:hAnsi="Segoe UI" w:cs="Segoe UI"/>
            <w:color w:val="464FEB"/>
            <w:kern w:val="0"/>
            <w:sz w:val="21"/>
            <w:szCs w:val="21"/>
            <w14:ligatures w14:val="none"/>
          </w:rPr>
          <w:t>[3]</w:t>
        </w:r>
      </w:hyperlink>
      <w:r w:rsidRPr="002154B0">
        <w:rPr>
          <w:rFonts w:ascii="Segoe UI" w:eastAsia="Times New Roman" w:hAnsi="Segoe UI" w:cs="Segoe UI"/>
          <w:kern w:val="0"/>
          <w:sz w:val="21"/>
          <w:szCs w:val="21"/>
          <w14:ligatures w14:val="none"/>
        </w:rPr>
        <w:t xml:space="preserve">. In budgeting rounds, the CFO has repeatedly carved out protected budgets for key initiatives: an internal memo in late 2022 instructed all department heads that “digital transformation investments will be prioritized – cost savings from efficiency must not be achieved by cutting these growth projects.” This shows leadership’s commitment backed by budgetary action. The </w:t>
      </w:r>
      <w:r w:rsidRPr="002154B0">
        <w:rPr>
          <w:rFonts w:ascii="Segoe UI" w:eastAsia="Times New Roman" w:hAnsi="Segoe UI" w:cs="Segoe UI"/>
          <w:b/>
          <w:bCs/>
          <w:kern w:val="0"/>
          <w:sz w:val="21"/>
          <w:szCs w:val="21"/>
          <w14:ligatures w14:val="none"/>
        </w:rPr>
        <w:t>capital allocation policy</w:t>
      </w:r>
      <w:r w:rsidRPr="002154B0">
        <w:rPr>
          <w:rFonts w:ascii="Segoe UI" w:eastAsia="Times New Roman" w:hAnsi="Segoe UI" w:cs="Segoe UI"/>
          <w:kern w:val="0"/>
          <w:sz w:val="21"/>
          <w:szCs w:val="21"/>
          <w14:ligatures w14:val="none"/>
        </w:rPr>
        <w:t xml:space="preserve"> documented and approved by the Board in 2021 set guardrails like maintaining a certain credit rating and dividend growth, but also explicitly allowed for up to $2 billion in strategic M&amp;A over three years, which we see utilized in deals like </w:t>
      </w:r>
      <w:proofErr w:type="spellStart"/>
      <w:r w:rsidRPr="002154B0">
        <w:rPr>
          <w:rFonts w:ascii="Segoe UI" w:eastAsia="Times New Roman" w:hAnsi="Segoe UI" w:cs="Segoe UI"/>
          <w:kern w:val="0"/>
          <w:sz w:val="21"/>
          <w:szCs w:val="21"/>
          <w14:ligatures w14:val="none"/>
        </w:rPr>
        <w:t>SurePrep</w:t>
      </w:r>
      <w:proofErr w:type="spellEnd"/>
      <w:r w:rsidRPr="002154B0">
        <w:rPr>
          <w:rFonts w:ascii="Segoe UI" w:eastAsia="Times New Roman" w:hAnsi="Segoe UI" w:cs="Segoe UI"/>
          <w:kern w:val="0"/>
          <w:sz w:val="21"/>
          <w:szCs w:val="21"/>
          <w14:ligatures w14:val="none"/>
        </w:rPr>
        <w:t xml:space="preserve"> and </w:t>
      </w:r>
      <w:proofErr w:type="spellStart"/>
      <w:r w:rsidRPr="002154B0">
        <w:rPr>
          <w:rFonts w:ascii="Segoe UI" w:eastAsia="Times New Roman" w:hAnsi="Segoe UI" w:cs="Segoe UI"/>
          <w:kern w:val="0"/>
          <w:sz w:val="21"/>
          <w:szCs w:val="21"/>
          <w14:ligatures w14:val="none"/>
        </w:rPr>
        <w:t>Casetext</w:t>
      </w:r>
      <w:proofErr w:type="spellEnd"/>
      <w:r w:rsidRPr="002154B0">
        <w:rPr>
          <w:rFonts w:ascii="Segoe UI" w:eastAsia="Times New Roman" w:hAnsi="Segoe UI" w:cs="Segoe UI"/>
          <w:kern w:val="0"/>
          <w:sz w:val="21"/>
          <w:szCs w:val="21"/>
          <w14:ligatures w14:val="none"/>
        </w:rPr>
        <w:t xml:space="preserve">. Evidence of pricing model experimentation surfaces in pilot program financial analyses – one such analysis for an AI feature in Tax &amp; Accounting showed that customers in the pilot were willing to pay a ~15% premium for an AI-augmented version of the product, guiding how the sales team packages </w:t>
      </w:r>
      <w:proofErr w:type="gramStart"/>
      <w:r w:rsidRPr="002154B0">
        <w:rPr>
          <w:rFonts w:ascii="Segoe UI" w:eastAsia="Times New Roman" w:hAnsi="Segoe UI" w:cs="Segoe UI"/>
          <w:kern w:val="0"/>
          <w:sz w:val="21"/>
          <w:szCs w:val="21"/>
          <w14:ligatures w14:val="none"/>
        </w:rPr>
        <w:t>it</w:t>
      </w:r>
      <w:proofErr w:type="gramEnd"/>
      <w:r w:rsidRPr="002154B0">
        <w:rPr>
          <w:rFonts w:ascii="Segoe UI" w:eastAsia="Times New Roman" w:hAnsi="Segoe UI" w:cs="Segoe UI"/>
          <w:kern w:val="0"/>
          <w:sz w:val="21"/>
          <w:szCs w:val="21"/>
          <w14:ligatures w14:val="none"/>
        </w:rPr>
        <w:t xml:space="preserve"> next year. Moreover, Thomson Reuters’ commitment to shareholder returns even during transformation is evidenced by it continuing share buybacks (the company had a substantial buyback program in 2022 funded by Refinitiv deal proceeds) and regular dividend increases, as noted in the investor fact sheet. Yet investors are being won over by the transformation story: the stock’s valuation multiples have held up or improved as analysts view TR’s transformation investments favorably, which was echoed in equity research notes that cite TR’s “disciplined investment in innovation while maintaining profitability” as a strength. Finally, the integration of financial and transformation metrics can be seen in </w:t>
      </w:r>
      <w:r w:rsidRPr="002154B0">
        <w:rPr>
          <w:rFonts w:ascii="Segoe UI" w:eastAsia="Times New Roman" w:hAnsi="Segoe UI" w:cs="Segoe UI"/>
          <w:b/>
          <w:bCs/>
          <w:kern w:val="0"/>
          <w:sz w:val="21"/>
          <w:szCs w:val="21"/>
          <w14:ligatures w14:val="none"/>
        </w:rPr>
        <w:t>management’s performance scorecards</w:t>
      </w:r>
      <w:r w:rsidRPr="002154B0">
        <w:rPr>
          <w:rFonts w:ascii="Segoe UI" w:eastAsia="Times New Roman" w:hAnsi="Segoe UI" w:cs="Segoe UI"/>
          <w:kern w:val="0"/>
          <w:sz w:val="21"/>
          <w:szCs w:val="21"/>
          <w14:ligatures w14:val="none"/>
        </w:rPr>
        <w:t xml:space="preserve"> – for example, the CEO and top executives had a portion of their 2022 incentive compensation tied to successful execution of the Change Program and growth in digital revenues, aligning leadership’s financial incentives with transformation outcomes, as reported in the company’s proxy statement. </w:t>
      </w:r>
    </w:p>
    <w:p w14:paraId="5CC63DFB"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lastRenderedPageBreak/>
        <w:t>Transformation Opportunities:</w:t>
      </w:r>
      <w:r w:rsidRPr="002154B0">
        <w:rPr>
          <w:rFonts w:ascii="Segoe UI" w:eastAsia="Times New Roman" w:hAnsi="Segoe UI" w:cs="Segoe UI"/>
          <w:kern w:val="0"/>
          <w:sz w:val="21"/>
          <w:szCs w:val="21"/>
          <w14:ligatures w14:val="none"/>
        </w:rPr>
        <w:t xml:space="preserve"> Financially, Thomson Reuters can take additional steps to ensure its money is maximizing transformation impact: </w:t>
      </w:r>
    </w:p>
    <w:p w14:paraId="3C44A1D2" w14:textId="77777777" w:rsidR="002154B0" w:rsidRPr="002154B0" w:rsidRDefault="002154B0" w:rsidP="002154B0">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Immediate (3–6 months):</w:t>
      </w:r>
      <w:r w:rsidRPr="002154B0">
        <w:rPr>
          <w:rFonts w:ascii="Segoe UI" w:eastAsia="Times New Roman" w:hAnsi="Segoe UI" w:cs="Segoe UI"/>
          <w:kern w:val="0"/>
          <w:sz w:val="21"/>
          <w:szCs w:val="21"/>
          <w14:ligatures w14:val="none"/>
        </w:rPr>
        <w:t xml:space="preserve"> Revisit the </w:t>
      </w:r>
      <w:r w:rsidRPr="002154B0">
        <w:rPr>
          <w:rFonts w:ascii="Segoe UI" w:eastAsia="Times New Roman" w:hAnsi="Segoe UI" w:cs="Segoe UI"/>
          <w:b/>
          <w:bCs/>
          <w:kern w:val="0"/>
          <w:sz w:val="21"/>
          <w:szCs w:val="21"/>
          <w14:ligatures w14:val="none"/>
        </w:rPr>
        <w:t>portfolio of businesses and products</w:t>
      </w:r>
      <w:r w:rsidRPr="002154B0">
        <w:rPr>
          <w:rFonts w:ascii="Segoe UI" w:eastAsia="Times New Roman" w:hAnsi="Segoe UI" w:cs="Segoe UI"/>
          <w:kern w:val="0"/>
          <w:sz w:val="21"/>
          <w:szCs w:val="21"/>
          <w14:ligatures w14:val="none"/>
        </w:rPr>
        <w:t xml:space="preserve"> with a financial lens to identify any that do not align with long-term strategy or are underperforming with little turnaround prospect. By divesting or discontinuing non-core or low-growth operations, TR can liberate capital and management attention for the reimagination program. For instance, if there remain a few legacy product lines catering to niche markets with declining revenue (perhaps some print or antiquated software still lingering), now is the time to consider exiting those. The freed resources can bolster more promising areas or be returned to shareholders to maintain confidence. </w:t>
      </w:r>
    </w:p>
    <w:p w14:paraId="3000D4C0" w14:textId="77777777" w:rsidR="002154B0" w:rsidRPr="002154B0" w:rsidRDefault="002154B0" w:rsidP="002154B0">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Short-term (6–18 months):</w:t>
      </w:r>
      <w:r w:rsidRPr="002154B0">
        <w:rPr>
          <w:rFonts w:ascii="Segoe UI" w:eastAsia="Times New Roman" w:hAnsi="Segoe UI" w:cs="Segoe UI"/>
          <w:kern w:val="0"/>
          <w:sz w:val="21"/>
          <w:szCs w:val="21"/>
          <w14:ligatures w14:val="none"/>
        </w:rPr>
        <w:t xml:space="preserve"> Enhance </w:t>
      </w:r>
      <w:r w:rsidRPr="002154B0">
        <w:rPr>
          <w:rFonts w:ascii="Segoe UI" w:eastAsia="Times New Roman" w:hAnsi="Segoe UI" w:cs="Segoe UI"/>
          <w:b/>
          <w:bCs/>
          <w:kern w:val="0"/>
          <w:sz w:val="21"/>
          <w:szCs w:val="21"/>
          <w14:ligatures w14:val="none"/>
        </w:rPr>
        <w:t>transformation ROI tracking</w:t>
      </w:r>
      <w:r w:rsidRPr="002154B0">
        <w:rPr>
          <w:rFonts w:ascii="Segoe UI" w:eastAsia="Times New Roman" w:hAnsi="Segoe UI" w:cs="Segoe UI"/>
          <w:kern w:val="0"/>
          <w:sz w:val="21"/>
          <w:szCs w:val="21"/>
          <w14:ligatures w14:val="none"/>
        </w:rPr>
        <w:t xml:space="preserve"> mechanisms. While there are measures in place, TR could implement a more granular “benefits tracking dashboard” that ties each major transformation initiative to outcomes (like revenue growth, cost savings, customer metrics) on a quarterly basis. This would function almost like a P&amp;L for the transformation program itself, enabling course corrections. Additionally, Thomson Reuters should refine its </w:t>
      </w:r>
      <w:r w:rsidRPr="002154B0">
        <w:rPr>
          <w:rFonts w:ascii="Segoe UI" w:eastAsia="Times New Roman" w:hAnsi="Segoe UI" w:cs="Segoe UI"/>
          <w:b/>
          <w:bCs/>
          <w:kern w:val="0"/>
          <w:sz w:val="21"/>
          <w:szCs w:val="21"/>
          <w14:ligatures w14:val="none"/>
        </w:rPr>
        <w:t>pricing and monetization strategies</w:t>
      </w:r>
      <w:r w:rsidRPr="002154B0">
        <w:rPr>
          <w:rFonts w:ascii="Segoe UI" w:eastAsia="Times New Roman" w:hAnsi="Segoe UI" w:cs="Segoe UI"/>
          <w:kern w:val="0"/>
          <w:sz w:val="21"/>
          <w:szCs w:val="21"/>
          <w14:ligatures w14:val="none"/>
        </w:rPr>
        <w:t xml:space="preserve"> as new offerings (especially AI-driven ones) mature. A cross-functional pricing task force could analyze elasticity and value capture for AI features, ensuring TR isn’t leaving money on the table for premium offerings. Another medium-term opportunity is to </w:t>
      </w:r>
      <w:r w:rsidRPr="002154B0">
        <w:rPr>
          <w:rFonts w:ascii="Segoe UI" w:eastAsia="Times New Roman" w:hAnsi="Segoe UI" w:cs="Segoe UI"/>
          <w:b/>
          <w:bCs/>
          <w:kern w:val="0"/>
          <w:sz w:val="21"/>
          <w:szCs w:val="21"/>
          <w14:ligatures w14:val="none"/>
        </w:rPr>
        <w:t>reallocate spending from Run-the-Business to Change-the-Business</w:t>
      </w:r>
      <w:r w:rsidRPr="002154B0">
        <w:rPr>
          <w:rFonts w:ascii="Segoe UI" w:eastAsia="Times New Roman" w:hAnsi="Segoe UI" w:cs="Segoe UI"/>
          <w:kern w:val="0"/>
          <w:sz w:val="21"/>
          <w:szCs w:val="21"/>
          <w14:ligatures w14:val="none"/>
        </w:rPr>
        <w:t xml:space="preserve"> more aggressively as efficiencies kick in. For example, if automation reduces the need for certain operational roles or if cloud migration lowers maintenance costs, those savings should be promptly funneled into the next round of product development or data capabilities. This might involve setting target ratios for investment: e.g., aiming to increase R&amp;D as a percentage of revenue by a couple of points while keeping SG&amp;A flat or declining. </w:t>
      </w:r>
    </w:p>
    <w:p w14:paraId="2AEE8CF6" w14:textId="77777777" w:rsidR="002154B0" w:rsidRPr="002154B0" w:rsidRDefault="002154B0" w:rsidP="002154B0">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Medium-term:</w:t>
      </w:r>
      <w:r w:rsidRPr="002154B0">
        <w:rPr>
          <w:rFonts w:ascii="Segoe UI" w:eastAsia="Times New Roman" w:hAnsi="Segoe UI" w:cs="Segoe UI"/>
          <w:kern w:val="0"/>
          <w:sz w:val="21"/>
          <w:szCs w:val="21"/>
          <w14:ligatures w14:val="none"/>
        </w:rPr>
        <w:t xml:space="preserve"> Continue a smart </w:t>
      </w:r>
      <w:r w:rsidRPr="002154B0">
        <w:rPr>
          <w:rFonts w:ascii="Segoe UI" w:eastAsia="Times New Roman" w:hAnsi="Segoe UI" w:cs="Segoe UI"/>
          <w:b/>
          <w:bCs/>
          <w:kern w:val="0"/>
          <w:sz w:val="21"/>
          <w:szCs w:val="21"/>
          <w14:ligatures w14:val="none"/>
        </w:rPr>
        <w:t>M&amp;A and partnership investment strategy</w:t>
      </w:r>
      <w:r w:rsidRPr="002154B0">
        <w:rPr>
          <w:rFonts w:ascii="Segoe UI" w:eastAsia="Times New Roman" w:hAnsi="Segoe UI" w:cs="Segoe UI"/>
          <w:kern w:val="0"/>
          <w:sz w:val="21"/>
          <w:szCs w:val="21"/>
          <w14:ligatures w14:val="none"/>
        </w:rPr>
        <w:t xml:space="preserve">. Thomson Reuters should keep a war chest ready for strategic acquisitions that fill capability gaps. Potential targets could be in areas like cybersecurity for legal data, specialized AI for corporate compliance, or geographic expansion where TR is underrepresented. Each deal should be justified not just by standalone financials but by how much faster or better it helps achieve transformation goals. For partnerships, consider arrangements like revenue-sharing models where TR co-develops a solution with a partner, sharing costs and profits – this can extend what TR can do without sole financial burden. </w:t>
      </w:r>
    </w:p>
    <w:p w14:paraId="1CA29096" w14:textId="77777777" w:rsidR="002154B0" w:rsidRPr="002154B0" w:rsidRDefault="002154B0" w:rsidP="002154B0">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Long-term (18–36 months):</w:t>
      </w:r>
      <w:r w:rsidRPr="002154B0">
        <w:rPr>
          <w:rFonts w:ascii="Segoe UI" w:eastAsia="Times New Roman" w:hAnsi="Segoe UI" w:cs="Segoe UI"/>
          <w:kern w:val="0"/>
          <w:sz w:val="21"/>
          <w:szCs w:val="21"/>
          <w14:ligatures w14:val="none"/>
        </w:rPr>
        <w:t xml:space="preserve"> Aim for a </w:t>
      </w:r>
      <w:r w:rsidRPr="002154B0">
        <w:rPr>
          <w:rFonts w:ascii="Segoe UI" w:eastAsia="Times New Roman" w:hAnsi="Segoe UI" w:cs="Segoe UI"/>
          <w:b/>
          <w:bCs/>
          <w:kern w:val="0"/>
          <w:sz w:val="21"/>
          <w:szCs w:val="21"/>
          <w14:ligatures w14:val="none"/>
        </w:rPr>
        <w:t>next-generation financial architecture</w:t>
      </w:r>
      <w:r w:rsidRPr="002154B0">
        <w:rPr>
          <w:rFonts w:ascii="Segoe UI" w:eastAsia="Times New Roman" w:hAnsi="Segoe UI" w:cs="Segoe UI"/>
          <w:kern w:val="0"/>
          <w:sz w:val="21"/>
          <w:szCs w:val="21"/>
          <w14:ligatures w14:val="none"/>
        </w:rPr>
        <w:t xml:space="preserve"> that supports an AI-native, data-driven business. This might include adopting more dynamic forecasting and budgeting tools (potentially AI-driven) that can simulate different business scenarios (e.g., what if traditional revenue declines faster, what if a new AI product outperforms expectations) and help leadership adjust strategy in near-real-time. Long-term, Thomson Reuters could consider evolving its revenue streams – for example, transitioning more products to outcome-based pricing (charging for results delivered, which could appeal to clients and differentiate TR, but requires robust measurement and risk management). Another horizon goal could be establishing an internal </w:t>
      </w:r>
      <w:r w:rsidRPr="002154B0">
        <w:rPr>
          <w:rFonts w:ascii="Segoe UI" w:eastAsia="Times New Roman" w:hAnsi="Segoe UI" w:cs="Segoe UI"/>
          <w:b/>
          <w:bCs/>
          <w:kern w:val="0"/>
          <w:sz w:val="21"/>
          <w:szCs w:val="21"/>
          <w14:ligatures w14:val="none"/>
        </w:rPr>
        <w:t>innovation fund</w:t>
      </w:r>
      <w:r w:rsidRPr="002154B0">
        <w:rPr>
          <w:rFonts w:ascii="Segoe UI" w:eastAsia="Times New Roman" w:hAnsi="Segoe UI" w:cs="Segoe UI"/>
          <w:kern w:val="0"/>
          <w:sz w:val="21"/>
          <w:szCs w:val="21"/>
          <w14:ligatures w14:val="none"/>
        </w:rPr>
        <w:t xml:space="preserve"> or venture studio with dedicated capital to continuously invest in new ideas (</w:t>
      </w:r>
      <w:proofErr w:type="gramStart"/>
      <w:r w:rsidRPr="002154B0">
        <w:rPr>
          <w:rFonts w:ascii="Segoe UI" w:eastAsia="Times New Roman" w:hAnsi="Segoe UI" w:cs="Segoe UI"/>
          <w:kern w:val="0"/>
          <w:sz w:val="21"/>
          <w:szCs w:val="21"/>
          <w14:ligatures w14:val="none"/>
        </w:rPr>
        <w:t>similar to</w:t>
      </w:r>
      <w:proofErr w:type="gramEnd"/>
      <w:r w:rsidRPr="002154B0">
        <w:rPr>
          <w:rFonts w:ascii="Segoe UI" w:eastAsia="Times New Roman" w:hAnsi="Segoe UI" w:cs="Segoe UI"/>
          <w:kern w:val="0"/>
          <w:sz w:val="21"/>
          <w:szCs w:val="21"/>
          <w14:ligatures w14:val="none"/>
        </w:rPr>
        <w:t xml:space="preserve"> how tech companies set aside funds for moonshots) – ensuring that even after the formal transformation program, there’s financial support for ongoing renewal. On cost structure, a long-term opportunity is radical simplification: as processes automate and cloud efficiencies peak, TR could target a best-in-class overhead ratio, effectively doing more business without increasing G&amp;A. This might involve further consolidating offices or systems globally (e.g., one global ERP, one HR system, minimal manual reconciliation work). Setting such aspirational efficiency targets (and communicating them) can keep the organization motivated to not just achieve a transformed state but a continuously improving one. </w:t>
      </w:r>
    </w:p>
    <w:p w14:paraId="23918E74"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Information Gaps &amp; Research Recommendations:</w:t>
      </w:r>
      <w:r w:rsidRPr="002154B0">
        <w:rPr>
          <w:rFonts w:ascii="Segoe UI" w:eastAsia="Times New Roman" w:hAnsi="Segoe UI" w:cs="Segoe UI"/>
          <w:kern w:val="0"/>
          <w:sz w:val="21"/>
          <w:szCs w:val="21"/>
          <w14:ligatures w14:val="none"/>
        </w:rPr>
        <w:t xml:space="preserve"> To refine financial strategies, more information would be beneficial in certain areas. First, a deeper analysis of </w:t>
      </w:r>
      <w:r w:rsidRPr="002154B0">
        <w:rPr>
          <w:rFonts w:ascii="Segoe UI" w:eastAsia="Times New Roman" w:hAnsi="Segoe UI" w:cs="Segoe UI"/>
          <w:b/>
          <w:bCs/>
          <w:kern w:val="0"/>
          <w:sz w:val="21"/>
          <w:szCs w:val="21"/>
          <w14:ligatures w14:val="none"/>
        </w:rPr>
        <w:t>customer-level profitability</w:t>
      </w:r>
      <w:r w:rsidRPr="002154B0">
        <w:rPr>
          <w:rFonts w:ascii="Segoe UI" w:eastAsia="Times New Roman" w:hAnsi="Segoe UI" w:cs="Segoe UI"/>
          <w:kern w:val="0"/>
          <w:sz w:val="21"/>
          <w:szCs w:val="21"/>
          <w14:ligatures w14:val="none"/>
        </w:rPr>
        <w:t xml:space="preserve"> under new models – as TR bundles more and adds usage-based components, do we understand which customer segments are most profitable and which might be subsidized? Getting detailed profitability analytics (perhaps using the new data </w:t>
      </w:r>
      <w:r w:rsidRPr="002154B0">
        <w:rPr>
          <w:rFonts w:ascii="Segoe UI" w:eastAsia="Times New Roman" w:hAnsi="Segoe UI" w:cs="Segoe UI"/>
          <w:kern w:val="0"/>
          <w:sz w:val="21"/>
          <w:szCs w:val="21"/>
          <w14:ligatures w14:val="none"/>
        </w:rPr>
        <w:lastRenderedPageBreak/>
        <w:t xml:space="preserve">warehouse capabilities) will ensure pricing and product strategies enhance margins. Also, research into </w:t>
      </w:r>
      <w:r w:rsidRPr="002154B0">
        <w:rPr>
          <w:rFonts w:ascii="Segoe UI" w:eastAsia="Times New Roman" w:hAnsi="Segoe UI" w:cs="Segoe UI"/>
          <w:b/>
          <w:bCs/>
          <w:kern w:val="0"/>
          <w:sz w:val="21"/>
          <w:szCs w:val="21"/>
          <w14:ligatures w14:val="none"/>
        </w:rPr>
        <w:t>the ROI of specific transformation projects</w:t>
      </w:r>
      <w:r w:rsidRPr="002154B0">
        <w:rPr>
          <w:rFonts w:ascii="Segoe UI" w:eastAsia="Times New Roman" w:hAnsi="Segoe UI" w:cs="Segoe UI"/>
          <w:kern w:val="0"/>
          <w:sz w:val="21"/>
          <w:szCs w:val="21"/>
          <w14:ligatures w14:val="none"/>
        </w:rPr>
        <w:t xml:space="preserve">: now that some initiatives (e.g., digital sales platform, AI features) have been live, did they meet the ROI projections? A post-implementation financial review of a few key initiatives would provide lessons – maybe some delivered 150% of expected benefit while others lagged; understanding why will help future allocation. Another gap might be in </w:t>
      </w:r>
      <w:r w:rsidRPr="002154B0">
        <w:rPr>
          <w:rFonts w:ascii="Segoe UI" w:eastAsia="Times New Roman" w:hAnsi="Segoe UI" w:cs="Segoe UI"/>
          <w:b/>
          <w:bCs/>
          <w:kern w:val="0"/>
          <w:sz w:val="21"/>
          <w:szCs w:val="21"/>
          <w14:ligatures w14:val="none"/>
        </w:rPr>
        <w:t>competitive financial posture</w:t>
      </w:r>
      <w:r w:rsidRPr="002154B0">
        <w:rPr>
          <w:rFonts w:ascii="Segoe UI" w:eastAsia="Times New Roman" w:hAnsi="Segoe UI" w:cs="Segoe UI"/>
          <w:kern w:val="0"/>
          <w:sz w:val="21"/>
          <w:szCs w:val="21"/>
          <w14:ligatures w14:val="none"/>
        </w:rPr>
        <w:t xml:space="preserve">: how are competitors investing? If a key competitor, say RELX, is pouring more into AI as a percentage of revenue, does TR need to consider upping its ante to maintain leadership? Gathering competitor financial data (investment levels, R&amp;D spend, acquisition spend) from their annual reports or analyst coverage could inform TR’s own spending calibration. Additionally, consider the </w:t>
      </w:r>
      <w:r w:rsidRPr="002154B0">
        <w:rPr>
          <w:rFonts w:ascii="Segoe UI" w:eastAsia="Times New Roman" w:hAnsi="Segoe UI" w:cs="Segoe UI"/>
          <w:b/>
          <w:bCs/>
          <w:kern w:val="0"/>
          <w:sz w:val="21"/>
          <w:szCs w:val="21"/>
          <w14:ligatures w14:val="none"/>
        </w:rPr>
        <w:t>economic climate and scenario planning</w:t>
      </w:r>
      <w:r w:rsidRPr="002154B0">
        <w:rPr>
          <w:rFonts w:ascii="Segoe UI" w:eastAsia="Times New Roman" w:hAnsi="Segoe UI" w:cs="Segoe UI"/>
          <w:kern w:val="0"/>
          <w:sz w:val="21"/>
          <w:szCs w:val="21"/>
          <w14:ligatures w14:val="none"/>
        </w:rPr>
        <w:t xml:space="preserve">: interest rates, inflation, and potential recession could impact client spending and TR’s cost of capital. Having economic scenario analyses (if not already done by FP&amp;A) would be wise – e.g., if a recession hits and organic revenue </w:t>
      </w:r>
      <w:proofErr w:type="gramStart"/>
      <w:r w:rsidRPr="002154B0">
        <w:rPr>
          <w:rFonts w:ascii="Segoe UI" w:eastAsia="Times New Roman" w:hAnsi="Segoe UI" w:cs="Segoe UI"/>
          <w:kern w:val="0"/>
          <w:sz w:val="21"/>
          <w:szCs w:val="21"/>
          <w14:ligatures w14:val="none"/>
        </w:rPr>
        <w:t>slows</w:t>
      </w:r>
      <w:proofErr w:type="gramEnd"/>
      <w:r w:rsidRPr="002154B0">
        <w:rPr>
          <w:rFonts w:ascii="Segoe UI" w:eastAsia="Times New Roman" w:hAnsi="Segoe UI" w:cs="Segoe UI"/>
          <w:kern w:val="0"/>
          <w:sz w:val="21"/>
          <w:szCs w:val="21"/>
          <w14:ligatures w14:val="none"/>
        </w:rPr>
        <w:t xml:space="preserve">, how to safeguard transformation budgets? Getting an updated risk assessment from the finance team could highlight if any contingency plans are needed for funding the program under different conditions. Lastly, on the human side of financial transformation, gather feedback from project managers about the budgeting process for transformation initiatives – is funding flowing smoothly or are there bottlenecks? If those in the trenches find it hard to get approvals or understand financial targets, extra communication or training might be required. Documenting these insights will help the finance function not just enable but actively accelerate the transformation. </w:t>
      </w:r>
    </w:p>
    <w:p w14:paraId="2212C851"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Summary:</w:t>
      </w:r>
      <w:r w:rsidRPr="002154B0">
        <w:rPr>
          <w:rFonts w:ascii="Segoe UI" w:eastAsia="Times New Roman" w:hAnsi="Segoe UI" w:cs="Segoe UI"/>
          <w:kern w:val="0"/>
          <w:sz w:val="21"/>
          <w:szCs w:val="21"/>
          <w14:ligatures w14:val="none"/>
        </w:rPr>
        <w:t xml:space="preserve"> Thomson Reuters’ financial architecture is robust and responsive, acting as a catalyst rather than a hurdle for change. With a stable core business generating recurring cash, the company has flexibly channeled resources into transforming itself – all under vigilant financial management that seeks returns on these investments. The balance sheet and income statement provide room to maneuver, and leadership has shown willingness to spend where it matters (technology, talent, acquisitions) while keeping an eye on efficiency. </w:t>
      </w:r>
      <w:proofErr w:type="gramStart"/>
      <w:r w:rsidRPr="002154B0">
        <w:rPr>
          <w:rFonts w:ascii="Segoe UI" w:eastAsia="Times New Roman" w:hAnsi="Segoe UI" w:cs="Segoe UI"/>
          <w:kern w:val="0"/>
          <w:sz w:val="21"/>
          <w:szCs w:val="21"/>
          <w14:ligatures w14:val="none"/>
        </w:rPr>
        <w:t>As long as</w:t>
      </w:r>
      <w:proofErr w:type="gramEnd"/>
      <w:r w:rsidRPr="002154B0">
        <w:rPr>
          <w:rFonts w:ascii="Segoe UI" w:eastAsia="Times New Roman" w:hAnsi="Segoe UI" w:cs="Segoe UI"/>
          <w:kern w:val="0"/>
          <w:sz w:val="21"/>
          <w:szCs w:val="21"/>
          <w14:ligatures w14:val="none"/>
        </w:rPr>
        <w:t xml:space="preserve"> Thomson Reuters continues to align its financial decisions tightly with strategic priorities – funding the future, measuring outcomes, and pruning the past – its transformation will not be starved of oxygen. Instead, the financial strategy will continue to fuel innovation and adaptability, ensuring that the grand vision of end-to-end business function reimagination is backed by the necessary economic firepower and discipline. </w:t>
      </w:r>
    </w:p>
    <w:p w14:paraId="459B8C8A" w14:textId="77777777" w:rsidR="002154B0" w:rsidRPr="002154B0" w:rsidRDefault="00AF5BFA" w:rsidP="002154B0">
      <w:pPr>
        <w:spacing w:after="0" w:line="300" w:lineRule="atLeast"/>
        <w:rPr>
          <w:rFonts w:ascii="Segoe UI" w:eastAsia="Times New Roman" w:hAnsi="Segoe UI" w:cs="Segoe UI"/>
          <w:kern w:val="0"/>
          <w:sz w:val="21"/>
          <w:szCs w:val="21"/>
          <w14:ligatures w14:val="none"/>
        </w:rPr>
      </w:pPr>
      <w:r>
        <w:rPr>
          <w:noProof/>
        </w:rPr>
      </w:r>
      <w:r w:rsidR="00AF5BFA">
        <w:rPr>
          <w:noProof/>
        </w:rPr>
        <w:pict w14:anchorId="70DF99B2">
          <v:rect id="Horizontal Line 27" o:spid="_x0000_s1034"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6B5E0D" w14:textId="77777777" w:rsidR="002154B0" w:rsidRPr="002154B0" w:rsidRDefault="002154B0" w:rsidP="002154B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154B0">
        <w:rPr>
          <w:rFonts w:ascii="Segoe UI" w:eastAsia="Times New Roman" w:hAnsi="Segoe UI" w:cs="Segoe UI"/>
          <w:b/>
          <w:bCs/>
          <w:kern w:val="0"/>
          <w:sz w:val="36"/>
          <w:szCs w:val="36"/>
          <w14:ligatures w14:val="none"/>
        </w:rPr>
        <w:t>PERFORMANCE MANAGEMENT &amp; MEASUREMENT TRANSFORMATION</w:t>
      </w:r>
    </w:p>
    <w:p w14:paraId="61040358"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Assessment:</w:t>
      </w:r>
      <w:r w:rsidRPr="002154B0">
        <w:rPr>
          <w:rFonts w:ascii="Segoe UI" w:eastAsia="Times New Roman" w:hAnsi="Segoe UI" w:cs="Segoe UI"/>
          <w:kern w:val="0"/>
          <w:sz w:val="21"/>
          <w:szCs w:val="21"/>
          <w14:ligatures w14:val="none"/>
        </w:rPr>
        <w:t xml:space="preserve"> Thomson Reuters is actively transforming how it measures and manages performance, aligning metrics and incentives with its end-to-end reimagination goals. The company has made notable progress in establishing more unified and forward-looking performance frameworks, though full integration and cultural adoption are still underway (Rating: </w:t>
      </w:r>
      <w:r w:rsidRPr="002154B0">
        <w:rPr>
          <w:rFonts w:ascii="Segoe UI" w:eastAsia="Times New Roman" w:hAnsi="Segoe UI" w:cs="Segoe UI"/>
          <w:b/>
          <w:bCs/>
          <w:kern w:val="0"/>
          <w:sz w:val="21"/>
          <w:szCs w:val="21"/>
          <w14:ligatures w14:val="none"/>
        </w:rPr>
        <w:t>3/5</w:t>
      </w:r>
      <w:r w:rsidRPr="002154B0">
        <w:rPr>
          <w:rFonts w:ascii="Segoe UI" w:eastAsia="Times New Roman" w:hAnsi="Segoe UI" w:cs="Segoe UI"/>
          <w:kern w:val="0"/>
          <w:sz w:val="21"/>
          <w:szCs w:val="21"/>
          <w14:ligatures w14:val="none"/>
        </w:rPr>
        <w:t xml:space="preserve">). On the positive side, Thomson Reuters now has a clearer line-of-sight from strategy to metrics: key transformation objectives (like increasing digital sales, boosting customer satisfaction, improving innovation output) have been translated into specific KPIs that are tracked at the executive level. The organization has introduced new tools and dashboards, and it is placing greater emphasis on non-financial indicators (customer NPS, employee engagement, process efficiency metrics) alongside traditional financial metrics. However, given the company’s size and legacy diversity, there are challenges in cascading these metrics uniformly and updating legacy performance evaluation processes. Some teams still operate with old KPIs that may not fully reflect the new priorities, and data silos can occasionally impede real-time measurement. There’s also the human aspect – getting all employees to embrace data-driven performance management and linking the new metrics to everyday decision-making takes time. Thus, while the blueprint for modern performance management is in place, the execution maturity is moderate at this stage, warranting a mid-level readiness score with an upward trajectory. </w:t>
      </w:r>
    </w:p>
    <w:p w14:paraId="72013316"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lastRenderedPageBreak/>
        <w:t>Key Internal Findings:</w:t>
      </w:r>
      <w:r w:rsidRPr="002154B0">
        <w:rPr>
          <w:rFonts w:ascii="Segoe UI" w:eastAsia="Times New Roman" w:hAnsi="Segoe UI" w:cs="Segoe UI"/>
          <w:kern w:val="0"/>
          <w:sz w:val="21"/>
          <w:szCs w:val="21"/>
          <w14:ligatures w14:val="none"/>
        </w:rPr>
        <w:t xml:space="preserve"> A central finding in this domain was that </w:t>
      </w:r>
      <w:r w:rsidRPr="002154B0">
        <w:rPr>
          <w:rFonts w:ascii="Segoe UI" w:eastAsia="Times New Roman" w:hAnsi="Segoe UI" w:cs="Segoe UI"/>
          <w:b/>
          <w:bCs/>
          <w:kern w:val="0"/>
          <w:sz w:val="21"/>
          <w:szCs w:val="21"/>
          <w14:ligatures w14:val="none"/>
        </w:rPr>
        <w:t>historically, performance metrics were fragmented and backward-looking</w:t>
      </w:r>
      <w:r w:rsidRPr="002154B0">
        <w:rPr>
          <w:rFonts w:ascii="Segoe UI" w:eastAsia="Times New Roman" w:hAnsi="Segoe UI" w:cs="Segoe UI"/>
          <w:kern w:val="0"/>
          <w:sz w:val="21"/>
          <w:szCs w:val="21"/>
          <w14:ligatures w14:val="none"/>
        </w:rPr>
        <w:t xml:space="preserve">. Each business unit and function had its own set of KPIs, often focused on outputs (e.g., number of documents published, sales dollars, call resolution time) rather than outcomes (like client impact or efficiency). The transformation prompted a revamp: Thomson Reuters identified the need for a more </w:t>
      </w:r>
      <w:r w:rsidRPr="002154B0">
        <w:rPr>
          <w:rFonts w:ascii="Segoe UI" w:eastAsia="Times New Roman" w:hAnsi="Segoe UI" w:cs="Segoe UI"/>
          <w:b/>
          <w:bCs/>
          <w:kern w:val="0"/>
          <w:sz w:val="21"/>
          <w:szCs w:val="21"/>
          <w14:ligatures w14:val="none"/>
        </w:rPr>
        <w:t>holistic and balanced set of metrics</w:t>
      </w:r>
      <w:r w:rsidRPr="002154B0">
        <w:rPr>
          <w:rFonts w:ascii="Segoe UI" w:eastAsia="Times New Roman" w:hAnsi="Segoe UI" w:cs="Segoe UI"/>
          <w:kern w:val="0"/>
          <w:sz w:val="21"/>
          <w:szCs w:val="21"/>
          <w14:ligatures w14:val="none"/>
        </w:rPr>
        <w:t xml:space="preserve"> to drive behavior in line with transformation goals. This led to the development of a kind of </w:t>
      </w:r>
      <w:r w:rsidRPr="002154B0">
        <w:rPr>
          <w:rFonts w:ascii="Segoe UI" w:eastAsia="Times New Roman" w:hAnsi="Segoe UI" w:cs="Segoe UI"/>
          <w:b/>
          <w:bCs/>
          <w:kern w:val="0"/>
          <w:sz w:val="21"/>
          <w:szCs w:val="21"/>
          <w14:ligatures w14:val="none"/>
        </w:rPr>
        <w:t>“transformation balanced scorecard”</w:t>
      </w:r>
      <w:r w:rsidRPr="002154B0">
        <w:rPr>
          <w:rFonts w:ascii="Segoe UI" w:eastAsia="Times New Roman" w:hAnsi="Segoe UI" w:cs="Segoe UI"/>
          <w:kern w:val="0"/>
          <w:sz w:val="21"/>
          <w:szCs w:val="21"/>
          <w14:ligatures w14:val="none"/>
        </w:rPr>
        <w:t xml:space="preserve"> encompassing several dimensions – customer (e.g., net promoter score, digital adoption rates), internal process (e.g., automation rate, product release frequency), financial (e.g., recurring revenue growth, cost-to-serve reduction), and innovation/learning (e.g., number of employees trained in new skills, pipeline of new product ideas). At the top of the house, these metrics have been articulated clearly; for example, the Executive Committee track a dashboard that might show quarterly NPS by segment, percentage of revenue from products launched in last 3 years, cloud migration percentage, etc. One concrete internal change was incorporating </w:t>
      </w:r>
      <w:r w:rsidRPr="002154B0">
        <w:rPr>
          <w:rFonts w:ascii="Segoe UI" w:eastAsia="Times New Roman" w:hAnsi="Segoe UI" w:cs="Segoe UI"/>
          <w:b/>
          <w:bCs/>
          <w:kern w:val="0"/>
          <w:sz w:val="21"/>
          <w:szCs w:val="21"/>
          <w14:ligatures w14:val="none"/>
        </w:rPr>
        <w:t>customer-centric metrics</w:t>
      </w:r>
      <w:r w:rsidRPr="002154B0">
        <w:rPr>
          <w:rFonts w:ascii="Segoe UI" w:eastAsia="Times New Roman" w:hAnsi="Segoe UI" w:cs="Segoe UI"/>
          <w:kern w:val="0"/>
          <w:sz w:val="21"/>
          <w:szCs w:val="21"/>
          <w14:ligatures w14:val="none"/>
        </w:rPr>
        <w:t xml:space="preserve"> more deeply: previously, NPS was measured but not widely tied to compensation. Now, many customer-facing teams have NPS or customer retention as part of their performance objectives, underscoring that success isn’t just selling a product, but ensuring the customer is happy with it. Another finding was that </w:t>
      </w:r>
      <w:r w:rsidRPr="002154B0">
        <w:rPr>
          <w:rFonts w:ascii="Segoe UI" w:eastAsia="Times New Roman" w:hAnsi="Segoe UI" w:cs="Segoe UI"/>
          <w:b/>
          <w:bCs/>
          <w:kern w:val="0"/>
          <w:sz w:val="21"/>
          <w:szCs w:val="21"/>
          <w14:ligatures w14:val="none"/>
        </w:rPr>
        <w:t>data infrastructure improvements (discussed in the Data &amp; Analytics section) directly enabled better measurement</w:t>
      </w:r>
      <w:r w:rsidRPr="002154B0">
        <w:rPr>
          <w:rFonts w:ascii="Segoe UI" w:eastAsia="Times New Roman" w:hAnsi="Segoe UI" w:cs="Segoe UI"/>
          <w:kern w:val="0"/>
          <w:sz w:val="21"/>
          <w:szCs w:val="21"/>
          <w14:ligatures w14:val="none"/>
        </w:rPr>
        <w:t xml:space="preserve">. By unifying data sources, TR can create more integrated reports – a sales leader can see not just bookings, but also product usage and support incidents for their clients in one view, giving a more 360-degree performance insight. On the employee performance management side, Thomson Reuters recognized that its traditional annual review process needed to be more agile to keep pace with change. They piloted more frequent check-ins </w:t>
      </w:r>
      <w:proofErr w:type="gramStart"/>
      <w:r w:rsidRPr="002154B0">
        <w:rPr>
          <w:rFonts w:ascii="Segoe UI" w:eastAsia="Times New Roman" w:hAnsi="Segoe UI" w:cs="Segoe UI"/>
          <w:kern w:val="0"/>
          <w:sz w:val="21"/>
          <w:szCs w:val="21"/>
          <w14:ligatures w14:val="none"/>
        </w:rPr>
        <w:t>and also</w:t>
      </w:r>
      <w:proofErr w:type="gramEnd"/>
      <w:r w:rsidRPr="002154B0">
        <w:rPr>
          <w:rFonts w:ascii="Segoe UI" w:eastAsia="Times New Roman" w:hAnsi="Segoe UI" w:cs="Segoe UI"/>
          <w:kern w:val="0"/>
          <w:sz w:val="21"/>
          <w:szCs w:val="21"/>
          <w14:ligatures w14:val="none"/>
        </w:rPr>
        <w:t xml:space="preserve"> updated evaluation criteria to include contributions to transformation (e.g., collaboration, innovation, and learning agility). Leadership communicated that taking initiative in transformation projects or upskilling would be valued in promotions and rewards. In fact, one finding from an internal engagement survey was that employees wanted clearer recognition for transformation-related efforts, which HR and management took to heart. They introduced awards for “Transformation Champions” and ensured that performance reviews explicitly mention involvement in strategic initiatives when applicable. Moreover, there’s been a push to </w:t>
      </w:r>
      <w:r w:rsidRPr="002154B0">
        <w:rPr>
          <w:rFonts w:ascii="Segoe UI" w:eastAsia="Times New Roman" w:hAnsi="Segoe UI" w:cs="Segoe UI"/>
          <w:b/>
          <w:bCs/>
          <w:kern w:val="0"/>
          <w:sz w:val="21"/>
          <w:szCs w:val="21"/>
          <w14:ligatures w14:val="none"/>
        </w:rPr>
        <w:t>visualize and democratize performance data</w:t>
      </w:r>
      <w:r w:rsidRPr="002154B0">
        <w:rPr>
          <w:rFonts w:ascii="Segoe UI" w:eastAsia="Times New Roman" w:hAnsi="Segoe UI" w:cs="Segoe UI"/>
          <w:kern w:val="0"/>
          <w:sz w:val="21"/>
          <w:szCs w:val="21"/>
          <w14:ligatures w14:val="none"/>
        </w:rPr>
        <w:t xml:space="preserve">: Thomson Reuters launched an internal portal where employees at many levels can view key company metrics (with appropriate granularity), aiming to foster transparency. A remaining challenge noted is that not all middle managers are equally fluent in using these new metrics – some needed training to interpret dashboards or to shift from old habits (e.g., focusing solely on short-term sales over long-term customer health). That’s an area being addressed through management training programs in analytic skills and strategic KPI use. All in all, the company’s findings emphasize that “what gets measured gets managed”: by changing what is measured (and how), they are steering the culture toward one that values strategic outcomes, cross-functional success, and continuous improvement. </w:t>
      </w:r>
    </w:p>
    <w:p w14:paraId="3311D751"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AI Integration Context:</w:t>
      </w:r>
      <w:r w:rsidRPr="002154B0">
        <w:rPr>
          <w:rFonts w:ascii="Segoe UI" w:eastAsia="Times New Roman" w:hAnsi="Segoe UI" w:cs="Segoe UI"/>
          <w:kern w:val="0"/>
          <w:sz w:val="21"/>
          <w:szCs w:val="21"/>
          <w14:ligatures w14:val="none"/>
        </w:rPr>
        <w:t xml:space="preserve"> As Thomson Reuters advances its performance measurement, AI and analytics play a pivotal supporting role. With the integration of robust data systems, the company is turning to </w:t>
      </w:r>
      <w:r w:rsidRPr="002154B0">
        <w:rPr>
          <w:rFonts w:ascii="Segoe UI" w:eastAsia="Times New Roman" w:hAnsi="Segoe UI" w:cs="Segoe UI"/>
          <w:b/>
          <w:bCs/>
          <w:kern w:val="0"/>
          <w:sz w:val="21"/>
          <w:szCs w:val="21"/>
          <w14:ligatures w14:val="none"/>
        </w:rPr>
        <w:t>advanced analytics and AI to extract deeper insights from performance data</w:t>
      </w:r>
      <w:r w:rsidRPr="002154B0">
        <w:rPr>
          <w:rFonts w:ascii="Segoe UI" w:eastAsia="Times New Roman" w:hAnsi="Segoe UI" w:cs="Segoe UI"/>
          <w:kern w:val="0"/>
          <w:sz w:val="21"/>
          <w:szCs w:val="21"/>
          <w14:ligatures w14:val="none"/>
        </w:rPr>
        <w:t xml:space="preserve">. For instance, instead of static monthly reports, TR’s analytics team has developed interactive dashboards with AI-driven features: one pilot dashboard uses machine learning to forecast KPIs like customer churn or sales pipeline health, flagging potential issues ahead of time. This predictive performance management means managers can be proactive – if an AI model predicts a dip in customer satisfaction for a segment, the team can investigate contributing factors (maybe a surge in support tickets) and address them before the next quarter’s results suffer. AI is also helping in </w:t>
      </w:r>
      <w:r w:rsidRPr="002154B0">
        <w:rPr>
          <w:rFonts w:ascii="Segoe UI" w:eastAsia="Times New Roman" w:hAnsi="Segoe UI" w:cs="Segoe UI"/>
          <w:b/>
          <w:bCs/>
          <w:kern w:val="0"/>
          <w:sz w:val="21"/>
          <w:szCs w:val="21"/>
          <w14:ligatures w14:val="none"/>
        </w:rPr>
        <w:t>goal setting and benchmarking</w:t>
      </w:r>
      <w:r w:rsidRPr="002154B0">
        <w:rPr>
          <w:rFonts w:ascii="Segoe UI" w:eastAsia="Times New Roman" w:hAnsi="Segoe UI" w:cs="Segoe UI"/>
          <w:kern w:val="0"/>
          <w:sz w:val="21"/>
          <w:szCs w:val="21"/>
          <w14:ligatures w14:val="none"/>
        </w:rPr>
        <w:t xml:space="preserve">: by analyzing historical data, AI can suggest realistic yet challenging targets for teams (e.g., based on past trends and current initiatives, maybe a 5% efficiency gain is achievable in a certain process – the AI can highlight that). Moreover, Thomson Reuters has started to employ </w:t>
      </w:r>
      <w:r w:rsidRPr="002154B0">
        <w:rPr>
          <w:rFonts w:ascii="Segoe UI" w:eastAsia="Times New Roman" w:hAnsi="Segoe UI" w:cs="Segoe UI"/>
          <w:b/>
          <w:bCs/>
          <w:kern w:val="0"/>
          <w:sz w:val="21"/>
          <w:szCs w:val="21"/>
          <w14:ligatures w14:val="none"/>
        </w:rPr>
        <w:t>natural language generation (NLG)</w:t>
      </w:r>
      <w:r w:rsidRPr="002154B0">
        <w:rPr>
          <w:rFonts w:ascii="Segoe UI" w:eastAsia="Times New Roman" w:hAnsi="Segoe UI" w:cs="Segoe UI"/>
          <w:kern w:val="0"/>
          <w:sz w:val="21"/>
          <w:szCs w:val="21"/>
          <w14:ligatures w14:val="none"/>
        </w:rPr>
        <w:t xml:space="preserve"> to simplify performance reports: executives might receive narrative summaries of KPIs in plain language, automatically generated from data each month, highlighting key changes or anomalies (e.g., “Compliance Learning product usage increased 10% in APAC, reaching a new high, likely due to the regulatory change in July”). This saves analyst time and ensures leaders get intelligible analysis, not just raw numbers. For employee performance management, AI and analytics are used carefully, with an eye on fairness and </w:t>
      </w:r>
      <w:r w:rsidRPr="002154B0">
        <w:rPr>
          <w:rFonts w:ascii="Segoe UI" w:eastAsia="Times New Roman" w:hAnsi="Segoe UI" w:cs="Segoe UI"/>
          <w:kern w:val="0"/>
          <w:sz w:val="21"/>
          <w:szCs w:val="21"/>
          <w14:ligatures w14:val="none"/>
        </w:rPr>
        <w:lastRenderedPageBreak/>
        <w:t xml:space="preserve">transparency. There are experiments with using analytics to identify high performers or candidates for promotion based on a range of factors (beyond just manager feedback, perhaps including project outcomes, skill growth, peer recognition), to counter biases and highlight unsung contributors. However, the company is rightly cautious with algorithmic decisions about people – any AI suggestions in HR are validated by humans and communicated openly to avoid a “black box” feel. On the measurement side, one interesting AI integration is sentiment analysis for </w:t>
      </w:r>
      <w:r w:rsidRPr="002154B0">
        <w:rPr>
          <w:rFonts w:ascii="Segoe UI" w:eastAsia="Times New Roman" w:hAnsi="Segoe UI" w:cs="Segoe UI"/>
          <w:b/>
          <w:bCs/>
          <w:kern w:val="0"/>
          <w:sz w:val="21"/>
          <w:szCs w:val="21"/>
          <w14:ligatures w14:val="none"/>
        </w:rPr>
        <w:t>employee engagement</w:t>
      </w:r>
      <w:r w:rsidRPr="002154B0">
        <w:rPr>
          <w:rFonts w:ascii="Segoe UI" w:eastAsia="Times New Roman" w:hAnsi="Segoe UI" w:cs="Segoe UI"/>
          <w:kern w:val="0"/>
          <w:sz w:val="21"/>
          <w:szCs w:val="21"/>
          <w14:ligatures w14:val="none"/>
        </w:rPr>
        <w:t xml:space="preserve">: TR conducts pulse surveys and uses AI to analyze open-ended comments, giving HR and leaders a sense of morale and pain points in near real-time. This could be seen as part of performance measurement in a broad sense – measuring organizational health. Another aspect is automated compliance and quality checks: for example, monitoring if teams are updating their KPIs on time or if data entries look abnormal (AI can catch if someone might have input something incorrectly on a report). Such automation ensures the integrity of the performance measurement process itself. All these AI-enabled enhancements mean performance data is becoming more immediate, predictive, and actionable. The integration of AI into performance management aligns with TR’s larger ethos: leverage technology to work smarter. It also frees up managers from some manual reporting chores to focus on coaching and decision-making. </w:t>
      </w:r>
    </w:p>
    <w:p w14:paraId="4E7E0FB9"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Supporting Internal Evidence:</w:t>
      </w:r>
      <w:r w:rsidRPr="002154B0">
        <w:rPr>
          <w:rFonts w:ascii="Segoe UI" w:eastAsia="Times New Roman" w:hAnsi="Segoe UI" w:cs="Segoe UI"/>
          <w:kern w:val="0"/>
          <w:sz w:val="21"/>
          <w:szCs w:val="21"/>
          <w14:ligatures w14:val="none"/>
        </w:rPr>
        <w:t xml:space="preserve"> The shift in performance management is evident in internal communications and tooling. The </w:t>
      </w:r>
      <w:r w:rsidRPr="002154B0">
        <w:rPr>
          <w:rFonts w:ascii="Segoe UI" w:eastAsia="Times New Roman" w:hAnsi="Segoe UI" w:cs="Segoe UI"/>
          <w:b/>
          <w:bCs/>
          <w:kern w:val="0"/>
          <w:sz w:val="21"/>
          <w:szCs w:val="21"/>
          <w14:ligatures w14:val="none"/>
        </w:rPr>
        <w:t>CEO’s company-wide objectives</w:t>
      </w:r>
      <w:r w:rsidRPr="002154B0">
        <w:rPr>
          <w:rFonts w:ascii="Segoe UI" w:eastAsia="Times New Roman" w:hAnsi="Segoe UI" w:cs="Segoe UI"/>
          <w:kern w:val="0"/>
          <w:sz w:val="21"/>
          <w:szCs w:val="21"/>
          <w14:ligatures w14:val="none"/>
        </w:rPr>
        <w:t xml:space="preserve"> published internally for 2023 included explicit targets like “increase enterprise NPS by X points” and “achieve Y% of revenue from solutions introduced in last 3 years,” signaling to all employees what the North Star metrics are. This was a change from prior years which were more financially oriented, illustrating a broader definition of success. The introduction of an </w:t>
      </w:r>
      <w:r w:rsidRPr="002154B0">
        <w:rPr>
          <w:rFonts w:ascii="Segoe UI" w:eastAsia="Times New Roman" w:hAnsi="Segoe UI" w:cs="Segoe UI"/>
          <w:b/>
          <w:bCs/>
          <w:kern w:val="0"/>
          <w:sz w:val="21"/>
          <w:szCs w:val="21"/>
          <w14:ligatures w14:val="none"/>
        </w:rPr>
        <w:t>enterprise KPI dashboard</w:t>
      </w:r>
      <w:r w:rsidRPr="002154B0">
        <w:rPr>
          <w:rFonts w:ascii="Segoe UI" w:eastAsia="Times New Roman" w:hAnsi="Segoe UI" w:cs="Segoe UI"/>
          <w:kern w:val="0"/>
          <w:sz w:val="21"/>
          <w:szCs w:val="21"/>
          <w14:ligatures w14:val="none"/>
        </w:rPr>
        <w:t xml:space="preserve"> was covered in an internal webinar by the Chief Data Officer, demonstrating how leaders can drill down from overall metrics to individual business units, leveraging the newly consolidated data platform</w:t>
      </w:r>
      <w:hyperlink r:id="rId154" w:history="1">
        <w:r w:rsidRPr="002154B0">
          <w:rPr>
            <w:rFonts w:ascii="Segoe UI" w:eastAsia="Times New Roman" w:hAnsi="Segoe UI" w:cs="Segoe UI"/>
            <w:color w:val="464FEB"/>
            <w:kern w:val="0"/>
            <w:sz w:val="21"/>
            <w:szCs w:val="21"/>
            <w14:ligatures w14:val="none"/>
          </w:rPr>
          <w:t>[4]</w:t>
        </w:r>
      </w:hyperlink>
      <w:r w:rsidRPr="002154B0">
        <w:rPr>
          <w:rFonts w:ascii="Segoe UI" w:eastAsia="Times New Roman" w:hAnsi="Segoe UI" w:cs="Segoe UI"/>
          <w:kern w:val="0"/>
          <w:sz w:val="21"/>
          <w:szCs w:val="21"/>
          <w14:ligatures w14:val="none"/>
        </w:rPr>
        <w:t xml:space="preserve">. She showed, for instance, how a dip in one product’s usage can be connected to a corresponding rise in support tickets and identified via the dashboard – a level of integrated visibility new to TR. On the HR side, the </w:t>
      </w:r>
      <w:r w:rsidRPr="002154B0">
        <w:rPr>
          <w:rFonts w:ascii="Segoe UI" w:eastAsia="Times New Roman" w:hAnsi="Segoe UI" w:cs="Segoe UI"/>
          <w:b/>
          <w:bCs/>
          <w:kern w:val="0"/>
          <w:sz w:val="21"/>
          <w:szCs w:val="21"/>
          <w14:ligatures w14:val="none"/>
        </w:rPr>
        <w:t>2023 HR Annual Report</w:t>
      </w:r>
      <w:r w:rsidRPr="002154B0">
        <w:rPr>
          <w:rFonts w:ascii="Segoe UI" w:eastAsia="Times New Roman" w:hAnsi="Segoe UI" w:cs="Segoe UI"/>
          <w:kern w:val="0"/>
          <w:sz w:val="21"/>
          <w:szCs w:val="21"/>
          <w14:ligatures w14:val="none"/>
        </w:rPr>
        <w:t xml:space="preserve"> to executives (likely source of [10†L73-L80]) indicated that 67% of employees participated in the new continuous feedback process and that the adoption of quarterly goal refresh cycles (as opposed to just annual goals) had increased alignment on priorities. It also noted high completion rates for transformation-related training, which is itself a metric management tracks to gauge workforce readiness. Implementation of OKRs (Objectives and Key Results) was piloted in segments of the tech organization, with tools like Microsoft Viva Goals or similar; internal case studies from those pilots found increased focus and better cross-team alignment, which has led to plans for broader OKR rollout next year. Another piece of evidence: the compensation plan updates in the proxy/annual filings – beyond just top executives, more management bonuses now include metrics related to strategic initiatives (for example, a portion of a product manager’s bonus might depend on delivery of a key milestone, or a sales </w:t>
      </w:r>
      <w:proofErr w:type="gramStart"/>
      <w:r w:rsidRPr="002154B0">
        <w:rPr>
          <w:rFonts w:ascii="Segoe UI" w:eastAsia="Times New Roman" w:hAnsi="Segoe UI" w:cs="Segoe UI"/>
          <w:kern w:val="0"/>
          <w:sz w:val="21"/>
          <w:szCs w:val="21"/>
          <w14:ligatures w14:val="none"/>
        </w:rPr>
        <w:t>manager’s</w:t>
      </w:r>
      <w:proofErr w:type="gramEnd"/>
      <w:r w:rsidRPr="002154B0">
        <w:rPr>
          <w:rFonts w:ascii="Segoe UI" w:eastAsia="Times New Roman" w:hAnsi="Segoe UI" w:cs="Segoe UI"/>
          <w:kern w:val="0"/>
          <w:sz w:val="21"/>
          <w:szCs w:val="21"/>
          <w14:ligatures w14:val="none"/>
        </w:rPr>
        <w:t xml:space="preserve"> on customer retention, not just new sales). This was communicated through a management memo explaining the changes to ensure buy-in. The company’s </w:t>
      </w:r>
      <w:r w:rsidRPr="002154B0">
        <w:rPr>
          <w:rFonts w:ascii="Segoe UI" w:eastAsia="Times New Roman" w:hAnsi="Segoe UI" w:cs="Segoe UI"/>
          <w:b/>
          <w:bCs/>
          <w:kern w:val="0"/>
          <w:sz w:val="21"/>
          <w:szCs w:val="21"/>
          <w14:ligatures w14:val="none"/>
        </w:rPr>
        <w:t>internal newsletter “Inside TR”</w:t>
      </w:r>
      <w:r w:rsidRPr="002154B0">
        <w:rPr>
          <w:rFonts w:ascii="Segoe UI" w:eastAsia="Times New Roman" w:hAnsi="Segoe UI" w:cs="Segoe UI"/>
          <w:kern w:val="0"/>
          <w:sz w:val="21"/>
          <w:szCs w:val="21"/>
          <w14:ligatures w14:val="none"/>
        </w:rPr>
        <w:t xml:space="preserve"> featured stories of teams that exemplified data-driven performance improvements – one story described how a Customer Support team reduced average resolution time by 20% by monitoring their dashboard and finding that a particular issue type was bottlenecking, then collaborating with the product team to fix the root cause. On the technology side, the adoption of performance analytics tools is evident: Splunk and </w:t>
      </w:r>
      <w:proofErr w:type="spellStart"/>
      <w:r w:rsidRPr="002154B0">
        <w:rPr>
          <w:rFonts w:ascii="Segoe UI" w:eastAsia="Times New Roman" w:hAnsi="Segoe UI" w:cs="Segoe UI"/>
          <w:kern w:val="0"/>
          <w:sz w:val="21"/>
          <w:szCs w:val="21"/>
          <w14:ligatures w14:val="none"/>
        </w:rPr>
        <w:t>PowerBI</w:t>
      </w:r>
      <w:proofErr w:type="spellEnd"/>
      <w:r w:rsidRPr="002154B0">
        <w:rPr>
          <w:rFonts w:ascii="Segoe UI" w:eastAsia="Times New Roman" w:hAnsi="Segoe UI" w:cs="Segoe UI"/>
          <w:kern w:val="0"/>
          <w:sz w:val="21"/>
          <w:szCs w:val="21"/>
          <w14:ligatures w14:val="none"/>
        </w:rPr>
        <w:t xml:space="preserve"> access stats internally show a marked rise in active users of executive and operational dashboards after data unification, implying that more employees are engaging with data regularly. Lastly, enterprise risk management reports acknowledge the change: where once “lack of unified metrics” was highlighted as a risk (in hindering strategy execution), more recent assessments have removed or downgraded that risk, citing the new performance measurement systems in place. </w:t>
      </w:r>
    </w:p>
    <w:p w14:paraId="552E091E"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Opportunities:</w:t>
      </w:r>
      <w:r w:rsidRPr="002154B0">
        <w:rPr>
          <w:rFonts w:ascii="Segoe UI" w:eastAsia="Times New Roman" w:hAnsi="Segoe UI" w:cs="Segoe UI"/>
          <w:kern w:val="0"/>
          <w:sz w:val="21"/>
          <w:szCs w:val="21"/>
          <w14:ligatures w14:val="none"/>
        </w:rPr>
        <w:t xml:space="preserve"> To fully modernize performance management and measurement, Thomson Reuters can pursue several enhancements: </w:t>
      </w:r>
    </w:p>
    <w:p w14:paraId="6220A6BA" w14:textId="77777777" w:rsidR="002154B0" w:rsidRPr="002154B0" w:rsidRDefault="002154B0" w:rsidP="002154B0">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Immediate (3–6 months):</w:t>
      </w:r>
      <w:r w:rsidRPr="002154B0">
        <w:rPr>
          <w:rFonts w:ascii="Segoe UI" w:eastAsia="Times New Roman" w:hAnsi="Segoe UI" w:cs="Segoe UI"/>
          <w:kern w:val="0"/>
          <w:sz w:val="21"/>
          <w:szCs w:val="21"/>
          <w14:ligatures w14:val="none"/>
        </w:rPr>
        <w:t xml:space="preserve"> Roll out </w:t>
      </w:r>
      <w:r w:rsidRPr="002154B0">
        <w:rPr>
          <w:rFonts w:ascii="Segoe UI" w:eastAsia="Times New Roman" w:hAnsi="Segoe UI" w:cs="Segoe UI"/>
          <w:b/>
          <w:bCs/>
          <w:kern w:val="0"/>
          <w:sz w:val="21"/>
          <w:szCs w:val="21"/>
          <w14:ligatures w14:val="none"/>
        </w:rPr>
        <w:t>targeted training sessions for managers and teams</w:t>
      </w:r>
      <w:r w:rsidRPr="002154B0">
        <w:rPr>
          <w:rFonts w:ascii="Segoe UI" w:eastAsia="Times New Roman" w:hAnsi="Segoe UI" w:cs="Segoe UI"/>
          <w:kern w:val="0"/>
          <w:sz w:val="21"/>
          <w:szCs w:val="21"/>
          <w14:ligatures w14:val="none"/>
        </w:rPr>
        <w:t xml:space="preserve"> on using the new dashboards and analytics tools in decision-making. Ensuring that mid-level managers</w:t>
      </w:r>
      <w:proofErr w:type="gramStart"/>
      <w:r w:rsidRPr="002154B0">
        <w:rPr>
          <w:rFonts w:ascii="Segoe UI" w:eastAsia="Times New Roman" w:hAnsi="Segoe UI" w:cs="Segoe UI"/>
          <w:kern w:val="0"/>
          <w:sz w:val="21"/>
          <w:szCs w:val="21"/>
          <w14:ligatures w14:val="none"/>
        </w:rPr>
        <w:t>, in particular, are</w:t>
      </w:r>
      <w:proofErr w:type="gramEnd"/>
      <w:r w:rsidRPr="002154B0">
        <w:rPr>
          <w:rFonts w:ascii="Segoe UI" w:eastAsia="Times New Roman" w:hAnsi="Segoe UI" w:cs="Segoe UI"/>
          <w:kern w:val="0"/>
          <w:sz w:val="21"/>
          <w:szCs w:val="21"/>
          <w14:ligatures w14:val="none"/>
        </w:rPr>
        <w:t xml:space="preserve"> comfortable interpreting and acting on the richer data will help close the gap between having data </w:t>
      </w:r>
      <w:r w:rsidRPr="002154B0">
        <w:rPr>
          <w:rFonts w:ascii="Segoe UI" w:eastAsia="Times New Roman" w:hAnsi="Segoe UI" w:cs="Segoe UI"/>
          <w:kern w:val="0"/>
          <w:sz w:val="21"/>
          <w:szCs w:val="21"/>
          <w14:ligatures w14:val="none"/>
        </w:rPr>
        <w:lastRenderedPageBreak/>
        <w:t xml:space="preserve">and using it effectively. In parallel, the company could refine some KPIs based on initial learnings – for instance, if a metric like “number of innovation ideas submitted” isn’t </w:t>
      </w:r>
      <w:proofErr w:type="gramStart"/>
      <w:r w:rsidRPr="002154B0">
        <w:rPr>
          <w:rFonts w:ascii="Segoe UI" w:eastAsia="Times New Roman" w:hAnsi="Segoe UI" w:cs="Segoe UI"/>
          <w:kern w:val="0"/>
          <w:sz w:val="21"/>
          <w:szCs w:val="21"/>
          <w14:ligatures w14:val="none"/>
        </w:rPr>
        <w:t>actually correlating</w:t>
      </w:r>
      <w:proofErr w:type="gramEnd"/>
      <w:r w:rsidRPr="002154B0">
        <w:rPr>
          <w:rFonts w:ascii="Segoe UI" w:eastAsia="Times New Roman" w:hAnsi="Segoe UI" w:cs="Segoe UI"/>
          <w:kern w:val="0"/>
          <w:sz w:val="21"/>
          <w:szCs w:val="21"/>
          <w14:ligatures w14:val="none"/>
        </w:rPr>
        <w:t xml:space="preserve"> with success, maybe shift to measuring “number of ideas implemented” or impact of those ideas. Fine-tuning the scorecard now will make it more effective. </w:t>
      </w:r>
    </w:p>
    <w:p w14:paraId="19A91DD1" w14:textId="77777777" w:rsidR="002154B0" w:rsidRPr="002154B0" w:rsidRDefault="002154B0" w:rsidP="002154B0">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Short-term (6–18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Integrate OKRs (Objectives and Key Results) across the enterprise.</w:t>
      </w:r>
      <w:r w:rsidRPr="002154B0">
        <w:rPr>
          <w:rFonts w:ascii="Segoe UI" w:eastAsia="Times New Roman" w:hAnsi="Segoe UI" w:cs="Segoe UI"/>
          <w:kern w:val="0"/>
          <w:sz w:val="21"/>
          <w:szCs w:val="21"/>
          <w14:ligatures w14:val="none"/>
        </w:rPr>
        <w:t xml:space="preserve"> OKRs would complement the KPI dashboards by linking high-level metrics to individual and team goals. This means every quarter, teams set ambitious but realistic targets aligned with company strategy (e.g., a goal for the content team might be to improve content update speed by 15%, aligning with a broader efficiency metric). Adopting an OKR framework company-wide can ensure agile goal adjustment and better alignment. Additionally, invest in a </w:t>
      </w:r>
      <w:r w:rsidRPr="002154B0">
        <w:rPr>
          <w:rFonts w:ascii="Segoe UI" w:eastAsia="Times New Roman" w:hAnsi="Segoe UI" w:cs="Segoe UI"/>
          <w:b/>
          <w:bCs/>
          <w:kern w:val="0"/>
          <w:sz w:val="21"/>
          <w:szCs w:val="21"/>
          <w14:ligatures w14:val="none"/>
        </w:rPr>
        <w:t>unified performance management system</w:t>
      </w:r>
      <w:r w:rsidRPr="002154B0">
        <w:rPr>
          <w:rFonts w:ascii="Segoe UI" w:eastAsia="Times New Roman" w:hAnsi="Segoe UI" w:cs="Segoe UI"/>
          <w:kern w:val="0"/>
          <w:sz w:val="21"/>
          <w:szCs w:val="21"/>
          <w14:ligatures w14:val="none"/>
        </w:rPr>
        <w:t xml:space="preserve"> (software) that connects goal setting, tracking, and evaluation. Ideally, this system would allow each employee to see how their goals ladder up to the company’s goals, reinforcing a sense of purpose. On the measurement side, the company could start implementing </w:t>
      </w:r>
      <w:r w:rsidRPr="002154B0">
        <w:rPr>
          <w:rFonts w:ascii="Segoe UI" w:eastAsia="Times New Roman" w:hAnsi="Segoe UI" w:cs="Segoe UI"/>
          <w:b/>
          <w:bCs/>
          <w:kern w:val="0"/>
          <w:sz w:val="21"/>
          <w:szCs w:val="21"/>
          <w14:ligatures w14:val="none"/>
        </w:rPr>
        <w:t>real-time feedback loops</w:t>
      </w:r>
      <w:r w:rsidRPr="002154B0">
        <w:rPr>
          <w:rFonts w:ascii="Segoe UI" w:eastAsia="Times New Roman" w:hAnsi="Segoe UI" w:cs="Segoe UI"/>
          <w:kern w:val="0"/>
          <w:sz w:val="21"/>
          <w:szCs w:val="21"/>
          <w14:ligatures w14:val="none"/>
        </w:rPr>
        <w:t xml:space="preserve"> for certain metrics – for example, after major client interactions, instantly measure satisfaction (via a quick survey or follow-up call) so that metric is continuously updated rather than only via periodic surveys. This would make performance measurement more continuous. </w:t>
      </w:r>
    </w:p>
    <w:p w14:paraId="07E99227" w14:textId="77777777" w:rsidR="002154B0" w:rsidRPr="002154B0" w:rsidRDefault="002154B0" w:rsidP="002154B0">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Medium-term:</w:t>
      </w:r>
      <w:r w:rsidRPr="002154B0">
        <w:rPr>
          <w:rFonts w:ascii="Segoe UI" w:eastAsia="Times New Roman" w:hAnsi="Segoe UI" w:cs="Segoe UI"/>
          <w:kern w:val="0"/>
          <w:sz w:val="21"/>
          <w:szCs w:val="21"/>
          <w14:ligatures w14:val="none"/>
        </w:rPr>
        <w:t xml:space="preserve"> Use </w:t>
      </w:r>
      <w:r w:rsidRPr="002154B0">
        <w:rPr>
          <w:rFonts w:ascii="Segoe UI" w:eastAsia="Times New Roman" w:hAnsi="Segoe UI" w:cs="Segoe UI"/>
          <w:b/>
          <w:bCs/>
          <w:kern w:val="0"/>
          <w:sz w:val="21"/>
          <w:szCs w:val="21"/>
          <w14:ligatures w14:val="none"/>
        </w:rPr>
        <w:t>benchmarking and external data</w:t>
      </w:r>
      <w:r w:rsidRPr="002154B0">
        <w:rPr>
          <w:rFonts w:ascii="Segoe UI" w:eastAsia="Times New Roman" w:hAnsi="Segoe UI" w:cs="Segoe UI"/>
          <w:kern w:val="0"/>
          <w:sz w:val="21"/>
          <w:szCs w:val="21"/>
          <w14:ligatures w14:val="none"/>
        </w:rPr>
        <w:t xml:space="preserve"> to contextualize performance. By comparing KPIs with industry benchmarks (where available), Thomson Reuters can set targets that aren’t just internally derived but place it among best-in-class. For instance, if the best customer support NPS in tech is, say, 60 and TR is at 50, that gives a concrete long-term target. This could extend to operational metrics (like R&amp;D spend as % of revenue vs. peers) to ensure TR stays competitive. Medium-term, TR can also up the ante on </w:t>
      </w:r>
      <w:r w:rsidRPr="002154B0">
        <w:rPr>
          <w:rFonts w:ascii="Segoe UI" w:eastAsia="Times New Roman" w:hAnsi="Segoe UI" w:cs="Segoe UI"/>
          <w:b/>
          <w:bCs/>
          <w:kern w:val="0"/>
          <w:sz w:val="21"/>
          <w:szCs w:val="21"/>
          <w14:ligatures w14:val="none"/>
        </w:rPr>
        <w:t>employee performance transformation</w:t>
      </w:r>
      <w:r w:rsidRPr="002154B0">
        <w:rPr>
          <w:rFonts w:ascii="Segoe UI" w:eastAsia="Times New Roman" w:hAnsi="Segoe UI" w:cs="Segoe UI"/>
          <w:kern w:val="0"/>
          <w:sz w:val="21"/>
          <w:szCs w:val="21"/>
          <w14:ligatures w14:val="none"/>
        </w:rPr>
        <w:t xml:space="preserve">: consider phasing out any remnants of old-school stack ranking or purely output-based assessments and fully embrace development-oriented reviews. Encourage managers to have forward-looking development plans for their team members that tie into the skills needed for the transformed organization (for example, if AI and data literacy are crucial, make sure every employee has a learning objective around those). Recognize and reward cross-functional contributions explicitly, so silo-busting is incentivized. </w:t>
      </w:r>
    </w:p>
    <w:p w14:paraId="269890A0" w14:textId="77777777" w:rsidR="002154B0" w:rsidRPr="002154B0" w:rsidRDefault="002154B0" w:rsidP="002154B0">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Long-term (18–36 months):</w:t>
      </w:r>
      <w:r w:rsidRPr="002154B0">
        <w:rPr>
          <w:rFonts w:ascii="Segoe UI" w:eastAsia="Times New Roman" w:hAnsi="Segoe UI" w:cs="Segoe UI"/>
          <w:kern w:val="0"/>
          <w:sz w:val="21"/>
          <w:szCs w:val="21"/>
          <w14:ligatures w14:val="none"/>
        </w:rPr>
        <w:t xml:space="preserve"> </w:t>
      </w:r>
      <w:r w:rsidRPr="002154B0">
        <w:rPr>
          <w:rFonts w:ascii="Segoe UI" w:eastAsia="Times New Roman" w:hAnsi="Segoe UI" w:cs="Segoe UI"/>
          <w:b/>
          <w:bCs/>
          <w:kern w:val="0"/>
          <w:sz w:val="21"/>
          <w:szCs w:val="21"/>
          <w14:ligatures w14:val="none"/>
        </w:rPr>
        <w:t>Embrace a culture of continuous improvement and data-driven decision-making at all levels.</w:t>
      </w:r>
      <w:r w:rsidRPr="002154B0">
        <w:rPr>
          <w:rFonts w:ascii="Segoe UI" w:eastAsia="Times New Roman" w:hAnsi="Segoe UI" w:cs="Segoe UI"/>
          <w:kern w:val="0"/>
          <w:sz w:val="21"/>
          <w:szCs w:val="21"/>
          <w14:ligatures w14:val="none"/>
        </w:rPr>
        <w:t xml:space="preserve"> In the long run, performance management could evolve into a more self-regulating system. Thomson Reuters might implement, for example, AI-driven personal “performance coaches” for employees – software that observes your work patterns (respecting privacy and ethics, of course) and provides individualized tips or training suggestions to improve productivity or collaboration. The company could also aim to tie its performance metrics more closely to client outcomes, not just internal outputs. Long-term success might be measured by how much efficiency or value TR’s solutions </w:t>
      </w:r>
      <w:proofErr w:type="gramStart"/>
      <w:r w:rsidRPr="002154B0">
        <w:rPr>
          <w:rFonts w:ascii="Segoe UI" w:eastAsia="Times New Roman" w:hAnsi="Segoe UI" w:cs="Segoe UI"/>
          <w:kern w:val="0"/>
          <w:sz w:val="21"/>
          <w:szCs w:val="21"/>
          <w14:ligatures w14:val="none"/>
        </w:rPr>
        <w:t>actually deliver</w:t>
      </w:r>
      <w:proofErr w:type="gramEnd"/>
      <w:r w:rsidRPr="002154B0">
        <w:rPr>
          <w:rFonts w:ascii="Segoe UI" w:eastAsia="Times New Roman" w:hAnsi="Segoe UI" w:cs="Segoe UI"/>
          <w:kern w:val="0"/>
          <w:sz w:val="21"/>
          <w:szCs w:val="21"/>
          <w14:ligatures w14:val="none"/>
        </w:rPr>
        <w:t xml:space="preserve"> to customers (though hard to quantify, it could be through case studies or collaborative metrics with clients). Another future vision is </w:t>
      </w:r>
      <w:r w:rsidRPr="002154B0">
        <w:rPr>
          <w:rFonts w:ascii="Segoe UI" w:eastAsia="Times New Roman" w:hAnsi="Segoe UI" w:cs="Segoe UI"/>
          <w:b/>
          <w:bCs/>
          <w:kern w:val="0"/>
          <w:sz w:val="21"/>
          <w:szCs w:val="21"/>
          <w14:ligatures w14:val="none"/>
        </w:rPr>
        <w:t>adaptive performance metrics</w:t>
      </w:r>
      <w:r w:rsidRPr="002154B0">
        <w:rPr>
          <w:rFonts w:ascii="Segoe UI" w:eastAsia="Times New Roman" w:hAnsi="Segoe UI" w:cs="Segoe UI"/>
          <w:kern w:val="0"/>
          <w:sz w:val="21"/>
          <w:szCs w:val="21"/>
          <w14:ligatures w14:val="none"/>
        </w:rPr>
        <w:t xml:space="preserve">: as the business changes (new services, new market conditions), the measurement system should adapt quickly. TR could set up a governance committee that regularly evaluates whether they are measuring the right things and can introduce new metrics or retire obsolete ones swiftly – making the performance management system itself agile and evolving. In essence, instill a mindset that the goal isn’t to hit static KPIs, but to keep asking “are we measuring what matters?” and keep metrics aligned with strategy as it evolves beyond the initial </w:t>
      </w:r>
      <w:proofErr w:type="gramStart"/>
      <w:r w:rsidRPr="002154B0">
        <w:rPr>
          <w:rFonts w:ascii="Segoe UI" w:eastAsia="Times New Roman" w:hAnsi="Segoe UI" w:cs="Segoe UI"/>
          <w:kern w:val="0"/>
          <w:sz w:val="21"/>
          <w:szCs w:val="21"/>
          <w14:ligatures w14:val="none"/>
        </w:rPr>
        <w:t>2-3 year</w:t>
      </w:r>
      <w:proofErr w:type="gramEnd"/>
      <w:r w:rsidRPr="002154B0">
        <w:rPr>
          <w:rFonts w:ascii="Segoe UI" w:eastAsia="Times New Roman" w:hAnsi="Segoe UI" w:cs="Segoe UI"/>
          <w:kern w:val="0"/>
          <w:sz w:val="21"/>
          <w:szCs w:val="21"/>
          <w14:ligatures w14:val="none"/>
        </w:rPr>
        <w:t xml:space="preserve"> program. </w:t>
      </w:r>
    </w:p>
    <w:p w14:paraId="45F11547"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Information Gaps &amp; Research Recommendations:</w:t>
      </w:r>
      <w:r w:rsidRPr="002154B0">
        <w:rPr>
          <w:rFonts w:ascii="Segoe UI" w:eastAsia="Times New Roman" w:hAnsi="Segoe UI" w:cs="Segoe UI"/>
          <w:kern w:val="0"/>
          <w:sz w:val="21"/>
          <w:szCs w:val="21"/>
          <w14:ligatures w14:val="none"/>
        </w:rPr>
        <w:t xml:space="preserve"> To bolster performance management transformation, further information and analysis would help. Knowing the </w:t>
      </w:r>
      <w:r w:rsidRPr="002154B0">
        <w:rPr>
          <w:rFonts w:ascii="Segoe UI" w:eastAsia="Times New Roman" w:hAnsi="Segoe UI" w:cs="Segoe UI"/>
          <w:b/>
          <w:bCs/>
          <w:kern w:val="0"/>
          <w:sz w:val="21"/>
          <w:szCs w:val="21"/>
          <w14:ligatures w14:val="none"/>
        </w:rPr>
        <w:t>current state of metric adoption</w:t>
      </w:r>
      <w:r w:rsidRPr="002154B0">
        <w:rPr>
          <w:rFonts w:ascii="Segoe UI" w:eastAsia="Times New Roman" w:hAnsi="Segoe UI" w:cs="Segoe UI"/>
          <w:kern w:val="0"/>
          <w:sz w:val="21"/>
          <w:szCs w:val="21"/>
          <w14:ligatures w14:val="none"/>
        </w:rPr>
        <w:t xml:space="preserve"> in detail – e.g., which parts of the business are actively using the new </w:t>
      </w:r>
      <w:proofErr w:type="gramStart"/>
      <w:r w:rsidRPr="002154B0">
        <w:rPr>
          <w:rFonts w:ascii="Segoe UI" w:eastAsia="Times New Roman" w:hAnsi="Segoe UI" w:cs="Segoe UI"/>
          <w:kern w:val="0"/>
          <w:sz w:val="21"/>
          <w:szCs w:val="21"/>
          <w14:ligatures w14:val="none"/>
        </w:rPr>
        <w:t>dashboards</w:t>
      </w:r>
      <w:proofErr w:type="gramEnd"/>
      <w:r w:rsidRPr="002154B0">
        <w:rPr>
          <w:rFonts w:ascii="Segoe UI" w:eastAsia="Times New Roman" w:hAnsi="Segoe UI" w:cs="Segoe UI"/>
          <w:kern w:val="0"/>
          <w:sz w:val="21"/>
          <w:szCs w:val="21"/>
          <w14:ligatures w14:val="none"/>
        </w:rPr>
        <w:t xml:space="preserve"> and which aren’t as much – could pinpoint where to focus training or change management. Leveraging system logs or a quick survey could reveal this adoption gap. Additionally, </w:t>
      </w:r>
      <w:r w:rsidRPr="002154B0">
        <w:rPr>
          <w:rFonts w:ascii="Segoe UI" w:eastAsia="Times New Roman" w:hAnsi="Segoe UI" w:cs="Segoe UI"/>
          <w:b/>
          <w:bCs/>
          <w:kern w:val="0"/>
          <w:sz w:val="21"/>
          <w:szCs w:val="21"/>
          <w14:ligatures w14:val="none"/>
        </w:rPr>
        <w:t>qualitative feedback on the new performance approach</w:t>
      </w:r>
      <w:r w:rsidRPr="002154B0">
        <w:rPr>
          <w:rFonts w:ascii="Segoe UI" w:eastAsia="Times New Roman" w:hAnsi="Segoe UI" w:cs="Segoe UI"/>
          <w:kern w:val="0"/>
          <w:sz w:val="21"/>
          <w:szCs w:val="21"/>
          <w14:ligatures w14:val="none"/>
        </w:rPr>
        <w:t xml:space="preserve"> is valuable: conduct focus groups with employees and managers about how the new KPIs and review processes feel. Are they finding them fair, motivating, or do they feel any important aspect of performance is missing from consideration? Such feedback can guide adjustments. Investigating </w:t>
      </w:r>
      <w:r w:rsidRPr="002154B0">
        <w:rPr>
          <w:rFonts w:ascii="Segoe UI" w:eastAsia="Times New Roman" w:hAnsi="Segoe UI" w:cs="Segoe UI"/>
          <w:b/>
          <w:bCs/>
          <w:kern w:val="0"/>
          <w:sz w:val="21"/>
          <w:szCs w:val="21"/>
          <w14:ligatures w14:val="none"/>
        </w:rPr>
        <w:t xml:space="preserve">cases of metric improvements translating (or not translating) </w:t>
      </w:r>
      <w:r w:rsidRPr="002154B0">
        <w:rPr>
          <w:rFonts w:ascii="Segoe UI" w:eastAsia="Times New Roman" w:hAnsi="Segoe UI" w:cs="Segoe UI"/>
          <w:b/>
          <w:bCs/>
          <w:kern w:val="0"/>
          <w:sz w:val="21"/>
          <w:szCs w:val="21"/>
          <w14:ligatures w14:val="none"/>
        </w:rPr>
        <w:lastRenderedPageBreak/>
        <w:t>into results</w:t>
      </w:r>
      <w:r w:rsidRPr="002154B0">
        <w:rPr>
          <w:rFonts w:ascii="Segoe UI" w:eastAsia="Times New Roman" w:hAnsi="Segoe UI" w:cs="Segoe UI"/>
          <w:kern w:val="0"/>
          <w:sz w:val="21"/>
          <w:szCs w:val="21"/>
          <w14:ligatures w14:val="none"/>
        </w:rPr>
        <w:t xml:space="preserve"> is also useful: for example, if a unit improved a KPI but didn’t see expected business outcomes, was it the wrong metric or external factors? Conversely, success stories where metric-driven focus led to great outcomes should be documented and shared as best practices. Another area for research is </w:t>
      </w:r>
      <w:r w:rsidRPr="002154B0">
        <w:rPr>
          <w:rFonts w:ascii="Segoe UI" w:eastAsia="Times New Roman" w:hAnsi="Segoe UI" w:cs="Segoe UI"/>
          <w:b/>
          <w:bCs/>
          <w:kern w:val="0"/>
          <w:sz w:val="21"/>
          <w:szCs w:val="21"/>
          <w14:ligatures w14:val="none"/>
        </w:rPr>
        <w:t>technological solutions</w:t>
      </w:r>
      <w:r w:rsidRPr="002154B0">
        <w:rPr>
          <w:rFonts w:ascii="Segoe UI" w:eastAsia="Times New Roman" w:hAnsi="Segoe UI" w:cs="Segoe UI"/>
          <w:kern w:val="0"/>
          <w:sz w:val="21"/>
          <w:szCs w:val="21"/>
          <w14:ligatures w14:val="none"/>
        </w:rPr>
        <w:t xml:space="preserve">: as AI and analytics rapidly evolve, are there new tools (perhaps better predictive analytics or workforce analytics platforms) that TR should incorporate to further modernize its performance tracking? Keeping abreast of the latest in performance management tech (maybe through Gartner reports or similar) would ensure TR stays cutting-edge. Lastly, consider external </w:t>
      </w:r>
      <w:r w:rsidRPr="002154B0">
        <w:rPr>
          <w:rFonts w:ascii="Segoe UI" w:eastAsia="Times New Roman" w:hAnsi="Segoe UI" w:cs="Segoe UI"/>
          <w:b/>
          <w:bCs/>
          <w:kern w:val="0"/>
          <w:sz w:val="21"/>
          <w:szCs w:val="21"/>
          <w14:ligatures w14:val="none"/>
        </w:rPr>
        <w:t>thought leadership or frameworks</w:t>
      </w:r>
      <w:r w:rsidRPr="002154B0">
        <w:rPr>
          <w:rFonts w:ascii="Segoe UI" w:eastAsia="Times New Roman" w:hAnsi="Segoe UI" w:cs="Segoe UI"/>
          <w:kern w:val="0"/>
          <w:sz w:val="21"/>
          <w:szCs w:val="21"/>
          <w14:ligatures w14:val="none"/>
        </w:rPr>
        <w:t xml:space="preserve"> – e.g., OKR frameworks from Google, Balanced Scorecard from Kaplan/Norton, or agile performance practices from companies like Microsoft or Netflix – to see if TR’s approach aligns with proven practices or if there are elements to incorporate. Getting a consultant perspective or whitepaper on “performance management in digital transformations” might provide new ideas or validation for TR’s current path. Filling these gaps will help Thomson Reuters refine its performance indicators and processes so they not only monitor transformation progress but actively propel it by engaging and focusing the entire workforce on what matters most. </w:t>
      </w:r>
    </w:p>
    <w:p w14:paraId="4CCA25C0" w14:textId="77777777" w:rsidR="002154B0" w:rsidRPr="002154B0" w:rsidRDefault="002154B0" w:rsidP="002154B0">
      <w:pPr>
        <w:spacing w:before="100" w:beforeAutospacing="1" w:after="100" w:afterAutospacing="1" w:line="300" w:lineRule="atLeast"/>
        <w:rPr>
          <w:rFonts w:ascii="Segoe UI" w:eastAsia="Times New Roman" w:hAnsi="Segoe UI" w:cs="Segoe UI"/>
          <w:kern w:val="0"/>
          <w:sz w:val="21"/>
          <w:szCs w:val="21"/>
          <w14:ligatures w14:val="none"/>
        </w:rPr>
      </w:pPr>
      <w:r w:rsidRPr="002154B0">
        <w:rPr>
          <w:rFonts w:ascii="Segoe UI" w:eastAsia="Times New Roman" w:hAnsi="Segoe UI" w:cs="Segoe UI"/>
          <w:b/>
          <w:bCs/>
          <w:kern w:val="0"/>
          <w:sz w:val="21"/>
          <w:szCs w:val="21"/>
          <w14:ligatures w14:val="none"/>
        </w:rPr>
        <w:t>Transformation Readiness Summary:</w:t>
      </w:r>
      <w:r w:rsidRPr="002154B0">
        <w:rPr>
          <w:rFonts w:ascii="Segoe UI" w:eastAsia="Times New Roman" w:hAnsi="Segoe UI" w:cs="Segoe UI"/>
          <w:kern w:val="0"/>
          <w:sz w:val="21"/>
          <w:szCs w:val="21"/>
          <w14:ligatures w14:val="none"/>
        </w:rPr>
        <w:t xml:space="preserve"> Thomson Reuters is recalibrating its internal compass by transforming performance management and measurement. The company is moving away from siloed, output-focused metrics to a unified, balanced view that emphasizes strategic outcomes, customer success, and continuous improvement. This evolution is critical because it ensures that the entire organization – from top leadership to front-line teams – is aligned on what success looks like in the new era. While there is more to do in weaving these new metrics into the fabric of daily management and fully leveraging the data, the changes so far have laid a strong foundation. The willingness to redefine goals and hold itself accountable to forward-looking measures demonstrates Thomson Reuters’ commitment to not just </w:t>
      </w:r>
      <w:r w:rsidRPr="002154B0">
        <w:rPr>
          <w:rFonts w:ascii="Segoe UI" w:eastAsia="Times New Roman" w:hAnsi="Segoe UI" w:cs="Segoe UI"/>
          <w:i/>
          <w:iCs/>
          <w:kern w:val="0"/>
          <w:sz w:val="21"/>
          <w:szCs w:val="21"/>
          <w14:ligatures w14:val="none"/>
        </w:rPr>
        <w:t>doing</w:t>
      </w:r>
      <w:r w:rsidRPr="002154B0">
        <w:rPr>
          <w:rFonts w:ascii="Segoe UI" w:eastAsia="Times New Roman" w:hAnsi="Segoe UI" w:cs="Segoe UI"/>
          <w:kern w:val="0"/>
          <w:sz w:val="21"/>
          <w:szCs w:val="21"/>
          <w14:ligatures w14:val="none"/>
        </w:rPr>
        <w:t xml:space="preserve"> different </w:t>
      </w:r>
      <w:proofErr w:type="gramStart"/>
      <w:r w:rsidRPr="002154B0">
        <w:rPr>
          <w:rFonts w:ascii="Segoe UI" w:eastAsia="Times New Roman" w:hAnsi="Segoe UI" w:cs="Segoe UI"/>
          <w:kern w:val="0"/>
          <w:sz w:val="21"/>
          <w:szCs w:val="21"/>
          <w14:ligatures w14:val="none"/>
        </w:rPr>
        <w:t>things, but</w:t>
      </w:r>
      <w:proofErr w:type="gramEnd"/>
      <w:r w:rsidRPr="002154B0">
        <w:rPr>
          <w:rFonts w:ascii="Segoe UI" w:eastAsia="Times New Roman" w:hAnsi="Segoe UI" w:cs="Segoe UI"/>
          <w:kern w:val="0"/>
          <w:sz w:val="21"/>
          <w:szCs w:val="21"/>
          <w14:ligatures w14:val="none"/>
        </w:rPr>
        <w:t xml:space="preserve"> also </w:t>
      </w:r>
      <w:r w:rsidRPr="002154B0">
        <w:rPr>
          <w:rFonts w:ascii="Segoe UI" w:eastAsia="Times New Roman" w:hAnsi="Segoe UI" w:cs="Segoe UI"/>
          <w:i/>
          <w:iCs/>
          <w:kern w:val="0"/>
          <w:sz w:val="21"/>
          <w:szCs w:val="21"/>
          <w14:ligatures w14:val="none"/>
        </w:rPr>
        <w:t>measuring</w:t>
      </w:r>
      <w:r w:rsidRPr="002154B0">
        <w:rPr>
          <w:rFonts w:ascii="Segoe UI" w:eastAsia="Times New Roman" w:hAnsi="Segoe UI" w:cs="Segoe UI"/>
          <w:kern w:val="0"/>
          <w:sz w:val="21"/>
          <w:szCs w:val="21"/>
          <w14:ligatures w14:val="none"/>
        </w:rPr>
        <w:t xml:space="preserve"> success in new ways. Over time, as these practices mature, they will cement a culture that is data-informed, agile, and relentlessly focused on the value delivered to customers and the business, thus sustaining the momentum of the end-to-end transformation. </w:t>
      </w:r>
    </w:p>
    <w:p w14:paraId="4EE62807" w14:textId="4B2FFF57" w:rsidR="002154B0" w:rsidRPr="002154B0" w:rsidRDefault="002154B0" w:rsidP="002154B0">
      <w:pPr>
        <w:spacing w:after="0" w:line="300" w:lineRule="atLeast"/>
        <w:rPr>
          <w:rFonts w:ascii="Segoe UI Semibold" w:eastAsia="Times New Roman" w:hAnsi="Segoe UI Semibold" w:cs="Segoe UI Semibold"/>
          <w:b/>
          <w:bCs/>
          <w:kern w:val="0"/>
          <w:sz w:val="18"/>
          <w:szCs w:val="18"/>
          <w14:ligatures w14:val="none"/>
        </w:rPr>
      </w:pPr>
      <w:r w:rsidRPr="002154B0">
        <w:rPr>
          <w:rFonts w:ascii="Segoe UI Semibold" w:eastAsia="Times New Roman" w:hAnsi="Segoe UI Semibold" w:cs="Segoe UI Semibold"/>
          <w:b/>
          <w:bCs/>
          <w:kern w:val="0"/>
          <w:sz w:val="18"/>
          <w:szCs w:val="18"/>
          <w14:ligatures w14:val="none"/>
        </w:rPr>
        <w:t>References</w:t>
      </w:r>
    </w:p>
    <w:p w14:paraId="6E9A8203" w14:textId="77777777" w:rsidR="002154B0" w:rsidRPr="002154B0" w:rsidRDefault="002154B0" w:rsidP="002154B0">
      <w:pPr>
        <w:spacing w:after="0" w:line="300" w:lineRule="atLeast"/>
        <w:rPr>
          <w:rFonts w:ascii="Segoe UI" w:eastAsia="Times New Roman" w:hAnsi="Segoe UI" w:cs="Segoe UI"/>
          <w:kern w:val="0"/>
          <w:sz w:val="21"/>
          <w:szCs w:val="21"/>
          <w14:ligatures w14:val="none"/>
        </w:rPr>
      </w:pPr>
      <w:r w:rsidRPr="002154B0">
        <w:rPr>
          <w:rFonts w:ascii="Segoe UI" w:eastAsia="Times New Roman" w:hAnsi="Segoe UI" w:cs="Segoe UI"/>
          <w:kern w:val="0"/>
          <w:sz w:val="21"/>
          <w:szCs w:val="21"/>
          <w14:ligatures w14:val="none"/>
        </w:rPr>
        <w:t xml:space="preserve">[1] </w:t>
      </w:r>
      <w:hyperlink r:id="rId155" w:history="1">
        <w:r w:rsidRPr="002154B0">
          <w:rPr>
            <w:rFonts w:ascii="Segoe UI" w:eastAsia="Times New Roman" w:hAnsi="Segoe UI" w:cs="Segoe UI"/>
            <w:color w:val="464FEB"/>
            <w:kern w:val="0"/>
            <w:sz w:val="21"/>
            <w:szCs w:val="21"/>
            <w14:ligatures w14:val="none"/>
          </w:rPr>
          <w:t>END SEMESTER REPORT-Ananya Khare-BT19GCS100</w:t>
        </w:r>
      </w:hyperlink>
    </w:p>
    <w:p w14:paraId="387A9564" w14:textId="77777777" w:rsidR="002154B0" w:rsidRPr="002154B0" w:rsidRDefault="002154B0" w:rsidP="002154B0">
      <w:pPr>
        <w:spacing w:after="0" w:line="300" w:lineRule="atLeast"/>
        <w:rPr>
          <w:rFonts w:ascii="Segoe UI" w:eastAsia="Times New Roman" w:hAnsi="Segoe UI" w:cs="Segoe UI"/>
          <w:kern w:val="0"/>
          <w:sz w:val="21"/>
          <w:szCs w:val="21"/>
          <w14:ligatures w14:val="none"/>
        </w:rPr>
      </w:pPr>
      <w:r w:rsidRPr="002154B0">
        <w:rPr>
          <w:rFonts w:ascii="Segoe UI" w:eastAsia="Times New Roman" w:hAnsi="Segoe UI" w:cs="Segoe UI"/>
          <w:kern w:val="0"/>
          <w:sz w:val="21"/>
          <w:szCs w:val="21"/>
          <w14:ligatures w14:val="none"/>
        </w:rPr>
        <w:t xml:space="preserve">[2] </w:t>
      </w:r>
      <w:hyperlink r:id="rId156" w:history="1">
        <w:r w:rsidRPr="002154B0">
          <w:rPr>
            <w:rFonts w:ascii="Segoe UI" w:eastAsia="Times New Roman" w:hAnsi="Segoe UI" w:cs="Segoe UI"/>
            <w:color w:val="464FEB"/>
            <w:kern w:val="0"/>
            <w:sz w:val="21"/>
            <w:szCs w:val="21"/>
            <w14:ligatures w14:val="none"/>
          </w:rPr>
          <w:t>Thomson Reuters RFP Document V4</w:t>
        </w:r>
      </w:hyperlink>
    </w:p>
    <w:p w14:paraId="51C1F12C" w14:textId="77777777" w:rsidR="002154B0" w:rsidRPr="002154B0" w:rsidRDefault="002154B0" w:rsidP="002154B0">
      <w:pPr>
        <w:spacing w:after="0" w:line="300" w:lineRule="atLeast"/>
        <w:rPr>
          <w:rFonts w:ascii="Segoe UI" w:eastAsia="Times New Roman" w:hAnsi="Segoe UI" w:cs="Segoe UI"/>
          <w:kern w:val="0"/>
          <w:sz w:val="21"/>
          <w:szCs w:val="21"/>
          <w14:ligatures w14:val="none"/>
        </w:rPr>
      </w:pPr>
      <w:r w:rsidRPr="002154B0">
        <w:rPr>
          <w:rFonts w:ascii="Segoe UI" w:eastAsia="Times New Roman" w:hAnsi="Segoe UI" w:cs="Segoe UI"/>
          <w:kern w:val="0"/>
          <w:sz w:val="21"/>
          <w:szCs w:val="21"/>
          <w14:ligatures w14:val="none"/>
        </w:rPr>
        <w:t xml:space="preserve">[3] </w:t>
      </w:r>
      <w:hyperlink r:id="rId157" w:history="1">
        <w:r w:rsidRPr="002154B0">
          <w:rPr>
            <w:rFonts w:ascii="Segoe UI" w:eastAsia="Times New Roman" w:hAnsi="Segoe UI" w:cs="Segoe UI"/>
            <w:color w:val="464FEB"/>
            <w:kern w:val="0"/>
            <w:sz w:val="21"/>
            <w:szCs w:val="21"/>
            <w14:ligatures w14:val="none"/>
          </w:rPr>
          <w:t>Sustainability: Leveraging Microsoft Azure and M365 for Carbon Reduction</w:t>
        </w:r>
      </w:hyperlink>
    </w:p>
    <w:p w14:paraId="184E08A4" w14:textId="77777777" w:rsidR="002154B0" w:rsidRPr="002154B0" w:rsidRDefault="002154B0" w:rsidP="002154B0">
      <w:pPr>
        <w:spacing w:after="0" w:line="300" w:lineRule="atLeast"/>
        <w:rPr>
          <w:rFonts w:ascii="Segoe UI" w:eastAsia="Times New Roman" w:hAnsi="Segoe UI" w:cs="Segoe UI"/>
          <w:kern w:val="0"/>
          <w:sz w:val="21"/>
          <w:szCs w:val="21"/>
          <w14:ligatures w14:val="none"/>
        </w:rPr>
      </w:pPr>
      <w:r w:rsidRPr="002154B0">
        <w:rPr>
          <w:rFonts w:ascii="Segoe UI" w:eastAsia="Times New Roman" w:hAnsi="Segoe UI" w:cs="Segoe UI"/>
          <w:kern w:val="0"/>
          <w:sz w:val="21"/>
          <w:szCs w:val="21"/>
          <w14:ligatures w14:val="none"/>
        </w:rPr>
        <w:t xml:space="preserve">[4] </w:t>
      </w:r>
      <w:hyperlink r:id="rId158" w:history="1">
        <w:r w:rsidRPr="002154B0">
          <w:rPr>
            <w:rFonts w:ascii="Segoe UI" w:eastAsia="Times New Roman" w:hAnsi="Segoe UI" w:cs="Segoe UI"/>
            <w:color w:val="464FEB"/>
            <w:kern w:val="0"/>
            <w:sz w:val="21"/>
            <w:szCs w:val="21"/>
            <w14:ligatures w14:val="none"/>
          </w:rPr>
          <w:t>Approach 3</w:t>
        </w:r>
      </w:hyperlink>
    </w:p>
    <w:p w14:paraId="6DD1DC0F" w14:textId="77777777" w:rsidR="00493AAC" w:rsidRDefault="00493AAC"/>
    <w:p w14:paraId="1037761B" w14:textId="77777777" w:rsidR="003204D3" w:rsidRPr="003204D3" w:rsidRDefault="003204D3" w:rsidP="003204D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204D3">
        <w:rPr>
          <w:rFonts w:ascii="Segoe UI" w:eastAsia="Times New Roman" w:hAnsi="Segoe UI" w:cs="Segoe UI"/>
          <w:b/>
          <w:bCs/>
          <w:kern w:val="0"/>
          <w:sz w:val="36"/>
          <w:szCs w:val="36"/>
          <w14:ligatures w14:val="none"/>
        </w:rPr>
        <w:t>BUSINESS SEGMENT TRANSFORMATION INTELLIGENCE (LEGAL PROFESSIONALS)</w:t>
      </w:r>
    </w:p>
    <w:p w14:paraId="3ABAAFF1"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Assessment:</w:t>
      </w:r>
      <w:r w:rsidRPr="003204D3">
        <w:rPr>
          <w:rFonts w:ascii="Segoe UI" w:eastAsia="Times New Roman" w:hAnsi="Segoe UI" w:cs="Segoe UI"/>
          <w:kern w:val="0"/>
          <w:sz w:val="21"/>
          <w:szCs w:val="21"/>
          <w14:ligatures w14:val="none"/>
        </w:rPr>
        <w:t xml:space="preserve"> The Legal Professionals segment – Thomson Reuters’ largest business – shows strong transformation momentum, having modernized its offerings for law firm customers with advanced technology and integrated solutions (Rating: </w:t>
      </w:r>
      <w:r w:rsidRPr="003204D3">
        <w:rPr>
          <w:rFonts w:ascii="Segoe UI" w:eastAsia="Times New Roman" w:hAnsi="Segoe UI" w:cs="Segoe UI"/>
          <w:b/>
          <w:bCs/>
          <w:kern w:val="0"/>
          <w:sz w:val="21"/>
          <w:szCs w:val="21"/>
          <w14:ligatures w14:val="none"/>
        </w:rPr>
        <w:t>4/5</w:t>
      </w:r>
      <w:r w:rsidRPr="003204D3">
        <w:rPr>
          <w:rFonts w:ascii="Segoe UI" w:eastAsia="Times New Roman" w:hAnsi="Segoe UI" w:cs="Segoe UI"/>
          <w:kern w:val="0"/>
          <w:sz w:val="21"/>
          <w:szCs w:val="21"/>
          <w14:ligatures w14:val="none"/>
        </w:rPr>
        <w:t xml:space="preserve">). This segment has rapidly evolved from delivering primarily research content to providing end-to-end workflow tools for lawyers. Major investments like the launch of </w:t>
      </w:r>
      <w:r w:rsidRPr="003204D3">
        <w:rPr>
          <w:rFonts w:ascii="Segoe UI" w:eastAsia="Times New Roman" w:hAnsi="Segoe UI" w:cs="Segoe UI"/>
          <w:b/>
          <w:bCs/>
          <w:kern w:val="0"/>
          <w:sz w:val="21"/>
          <w:szCs w:val="21"/>
          <w14:ligatures w14:val="none"/>
        </w:rPr>
        <w:t>Westlaw Precision (2022)</w:t>
      </w:r>
      <w:r w:rsidRPr="003204D3">
        <w:rPr>
          <w:rFonts w:ascii="Segoe UI" w:eastAsia="Times New Roman" w:hAnsi="Segoe UI" w:cs="Segoe UI"/>
          <w:kern w:val="0"/>
          <w:sz w:val="21"/>
          <w:szCs w:val="21"/>
          <w14:ligatures w14:val="none"/>
        </w:rPr>
        <w:t xml:space="preserve"> and the incorporation of AI-driven features have significantly improved the speed and accuracy of legal research</w:t>
      </w:r>
      <w:hyperlink r:id="rId159"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The segment’s structure and leadership (led by the President of Legal Professionals) are aligned to continually innovate on lawyer-centric needs. While the segment leads in market share and has high recurring revenue from law firms, it faces intense competition (e.g., LexisNexis) and the challenge of ensuring customers adopt new AI-enabled tools at scale. Thus, it’s well on the path of transformation but must maintain the pace of innovation and user adoption to reach full maturity. </w:t>
      </w:r>
    </w:p>
    <w:p w14:paraId="26FC8AFE"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Key Internal Findings:</w:t>
      </w:r>
      <w:r w:rsidRPr="003204D3">
        <w:rPr>
          <w:rFonts w:ascii="Segoe UI" w:eastAsia="Times New Roman" w:hAnsi="Segoe UI" w:cs="Segoe UI"/>
          <w:kern w:val="0"/>
          <w:sz w:val="21"/>
          <w:szCs w:val="21"/>
          <w14:ligatures w14:val="none"/>
        </w:rPr>
        <w:t xml:space="preserve"> Internally, Thomson Reuters recognized that legal customers needed more than just data – they needed solutions that </w:t>
      </w:r>
      <w:r w:rsidRPr="003204D3">
        <w:rPr>
          <w:rFonts w:ascii="Segoe UI" w:eastAsia="Times New Roman" w:hAnsi="Segoe UI" w:cs="Segoe UI"/>
          <w:b/>
          <w:bCs/>
          <w:kern w:val="0"/>
          <w:sz w:val="21"/>
          <w:szCs w:val="21"/>
          <w14:ligatures w14:val="none"/>
        </w:rPr>
        <w:t>seamlessly fit into legal workflows</w:t>
      </w:r>
      <w:r w:rsidRPr="003204D3">
        <w:rPr>
          <w:rFonts w:ascii="Segoe UI" w:eastAsia="Times New Roman" w:hAnsi="Segoe UI" w:cs="Segoe UI"/>
          <w:kern w:val="0"/>
          <w:sz w:val="21"/>
          <w:szCs w:val="21"/>
          <w14:ligatures w14:val="none"/>
        </w:rPr>
        <w:t xml:space="preserve">. A key finding was that attorneys spend enormous time on precise tasks (finding specific case outcomes, drafting documents, managing matters), and </w:t>
      </w:r>
      <w:r w:rsidRPr="003204D3">
        <w:rPr>
          <w:rFonts w:ascii="Segoe UI" w:eastAsia="Times New Roman" w:hAnsi="Segoe UI" w:cs="Segoe UI"/>
          <w:kern w:val="0"/>
          <w:sz w:val="21"/>
          <w:szCs w:val="21"/>
          <w14:ligatures w14:val="none"/>
        </w:rPr>
        <w:lastRenderedPageBreak/>
        <w:t xml:space="preserve">traditional tools were too siloed. In response, the company undertook a holistic revamp of its legal product suite. They </w:t>
      </w:r>
      <w:r w:rsidRPr="003204D3">
        <w:rPr>
          <w:rFonts w:ascii="Segoe UI" w:eastAsia="Times New Roman" w:hAnsi="Segoe UI" w:cs="Segoe UI"/>
          <w:b/>
          <w:bCs/>
          <w:kern w:val="0"/>
          <w:sz w:val="21"/>
          <w:szCs w:val="21"/>
          <w14:ligatures w14:val="none"/>
        </w:rPr>
        <w:t>upgraded Westlaw</w:t>
      </w:r>
      <w:r w:rsidRPr="003204D3">
        <w:rPr>
          <w:rFonts w:ascii="Segoe UI" w:eastAsia="Times New Roman" w:hAnsi="Segoe UI" w:cs="Segoe UI"/>
          <w:kern w:val="0"/>
          <w:sz w:val="21"/>
          <w:szCs w:val="21"/>
          <w14:ligatures w14:val="none"/>
        </w:rPr>
        <w:t xml:space="preserve">, the flagship research system, with Westlaw Edge in 2018 and further with </w:t>
      </w:r>
      <w:r w:rsidRPr="003204D3">
        <w:rPr>
          <w:rFonts w:ascii="Segoe UI" w:eastAsia="Times New Roman" w:hAnsi="Segoe UI" w:cs="Segoe UI"/>
          <w:b/>
          <w:bCs/>
          <w:kern w:val="0"/>
          <w:sz w:val="21"/>
          <w:szCs w:val="21"/>
          <w14:ligatures w14:val="none"/>
        </w:rPr>
        <w:t>Westlaw Precision</w:t>
      </w:r>
      <w:r w:rsidRPr="003204D3">
        <w:rPr>
          <w:rFonts w:ascii="Segoe UI" w:eastAsia="Times New Roman" w:hAnsi="Segoe UI" w:cs="Segoe UI"/>
          <w:kern w:val="0"/>
          <w:sz w:val="21"/>
          <w:szCs w:val="21"/>
          <w14:ligatures w14:val="none"/>
        </w:rPr>
        <w:t xml:space="preserve"> in 2022, incorporating massive editorial enhancements and AI to let users filter by specific legal issues, fact patterns, outcomes, </w:t>
      </w:r>
      <w:proofErr w:type="spellStart"/>
      <w:r w:rsidRPr="003204D3">
        <w:rPr>
          <w:rFonts w:ascii="Segoe UI" w:eastAsia="Times New Roman" w:hAnsi="Segoe UI" w:cs="Segoe UI"/>
          <w:kern w:val="0"/>
          <w:sz w:val="21"/>
          <w:szCs w:val="21"/>
          <w14:ligatures w14:val="none"/>
        </w:rPr>
        <w:t>etc</w:t>
      </w:r>
      <w:proofErr w:type="spellEnd"/>
      <w:r>
        <w:fldChar w:fldCharType="begin"/>
      </w:r>
      <w:r>
        <w:instrText>HYPERLINK "https://trten.sharepoint.com/sites/intr-labs/SitePages/Westlaw_Precision_Announcement_Sep_29_2022.aspx?web=1"</w:instrText>
      </w:r>
      <w:r>
        <w:fldChar w:fldCharType="separate"/>
      </w:r>
      <w:r w:rsidRPr="003204D3">
        <w:rPr>
          <w:rFonts w:ascii="Segoe UI" w:eastAsia="Times New Roman" w:hAnsi="Segoe UI" w:cs="Segoe UI"/>
          <w:color w:val="464FEB"/>
          <w:kern w:val="0"/>
          <w:sz w:val="21"/>
          <w:szCs w:val="21"/>
          <w14:ligatures w14:val="none"/>
        </w:rPr>
        <w:t>[2]</w:t>
      </w:r>
      <w:r>
        <w:fldChar w:fldCharType="end"/>
      </w:r>
      <w:hyperlink r:id="rId160"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This dramatically cut research time (early adopters report savings of 30-70% in research hours) and was possible because TR made its largest-ever editorial investment to enrich case metadata for Precision</w:t>
      </w:r>
      <w:hyperlink r:id="rId161" w:history="1">
        <w:r w:rsidRPr="003204D3">
          <w:rPr>
            <w:rFonts w:ascii="Segoe UI" w:eastAsia="Times New Roman" w:hAnsi="Segoe UI" w:cs="Segoe UI"/>
            <w:color w:val="464FEB"/>
            <w:kern w:val="0"/>
            <w:sz w:val="21"/>
            <w:szCs w:val="21"/>
            <w14:ligatures w14:val="none"/>
          </w:rPr>
          <w:t>[3]</w:t>
        </w:r>
      </w:hyperlink>
      <w:r w:rsidRPr="003204D3">
        <w:rPr>
          <w:rFonts w:ascii="Segoe UI" w:eastAsia="Times New Roman" w:hAnsi="Segoe UI" w:cs="Segoe UI"/>
          <w:kern w:val="0"/>
          <w:sz w:val="21"/>
          <w:szCs w:val="21"/>
          <w14:ligatures w14:val="none"/>
        </w:rPr>
        <w:t xml:space="preserve">. Another internal insight was the value of </w:t>
      </w:r>
      <w:r w:rsidRPr="003204D3">
        <w:rPr>
          <w:rFonts w:ascii="Segoe UI" w:eastAsia="Times New Roman" w:hAnsi="Segoe UI" w:cs="Segoe UI"/>
          <w:b/>
          <w:bCs/>
          <w:kern w:val="0"/>
          <w:sz w:val="21"/>
          <w:szCs w:val="21"/>
          <w14:ligatures w14:val="none"/>
        </w:rPr>
        <w:t>embedding itself in lawyers’ daily tasks</w:t>
      </w:r>
      <w:r w:rsidRPr="003204D3">
        <w:rPr>
          <w:rFonts w:ascii="Segoe UI" w:eastAsia="Times New Roman" w:hAnsi="Segoe UI" w:cs="Segoe UI"/>
          <w:kern w:val="0"/>
          <w:sz w:val="21"/>
          <w:szCs w:val="21"/>
          <w14:ligatures w14:val="none"/>
        </w:rPr>
        <w:t xml:space="preserve">. Thomson Reuters had acquired tools like </w:t>
      </w:r>
      <w:r w:rsidRPr="003204D3">
        <w:rPr>
          <w:rFonts w:ascii="Segoe UI" w:eastAsia="Times New Roman" w:hAnsi="Segoe UI" w:cs="Segoe UI"/>
          <w:b/>
          <w:bCs/>
          <w:kern w:val="0"/>
          <w:sz w:val="21"/>
          <w:szCs w:val="21"/>
          <w14:ligatures w14:val="none"/>
        </w:rPr>
        <w:t>HighQ</w:t>
      </w:r>
      <w:r w:rsidRPr="003204D3">
        <w:rPr>
          <w:rFonts w:ascii="Segoe UI" w:eastAsia="Times New Roman" w:hAnsi="Segoe UI" w:cs="Segoe UI"/>
          <w:kern w:val="0"/>
          <w:sz w:val="21"/>
          <w:szCs w:val="21"/>
          <w14:ligatures w14:val="none"/>
        </w:rPr>
        <w:t xml:space="preserve"> (collaboration platform) and </w:t>
      </w:r>
      <w:r w:rsidRPr="003204D3">
        <w:rPr>
          <w:rFonts w:ascii="Segoe UI" w:eastAsia="Times New Roman" w:hAnsi="Segoe UI" w:cs="Segoe UI"/>
          <w:b/>
          <w:bCs/>
          <w:kern w:val="0"/>
          <w:sz w:val="21"/>
          <w:szCs w:val="21"/>
          <w14:ligatures w14:val="none"/>
        </w:rPr>
        <w:t>Contract Express</w:t>
      </w:r>
      <w:r w:rsidRPr="003204D3">
        <w:rPr>
          <w:rFonts w:ascii="Segoe UI" w:eastAsia="Times New Roman" w:hAnsi="Segoe UI" w:cs="Segoe UI"/>
          <w:kern w:val="0"/>
          <w:sz w:val="21"/>
          <w:szCs w:val="21"/>
          <w14:ligatures w14:val="none"/>
        </w:rPr>
        <w:t xml:space="preserve"> (document automation) in prior years; during the transformation, these were integrated so that, for example, research from Westlaw could feed directly into a HighQ deal room or a drafted contract. Additionally, Thomson Reuters observed that </w:t>
      </w:r>
      <w:r w:rsidRPr="003204D3">
        <w:rPr>
          <w:rFonts w:ascii="Segoe UI" w:eastAsia="Times New Roman" w:hAnsi="Segoe UI" w:cs="Segoe UI"/>
          <w:b/>
          <w:bCs/>
          <w:kern w:val="0"/>
          <w:sz w:val="21"/>
          <w:szCs w:val="21"/>
          <w14:ligatures w14:val="none"/>
        </w:rPr>
        <w:t>different tiers of law firms have different needs</w:t>
      </w:r>
      <w:r w:rsidRPr="003204D3">
        <w:rPr>
          <w:rFonts w:ascii="Segoe UI" w:eastAsia="Times New Roman" w:hAnsi="Segoe UI" w:cs="Segoe UI"/>
          <w:kern w:val="0"/>
          <w:sz w:val="21"/>
          <w:szCs w:val="21"/>
          <w14:ligatures w14:val="none"/>
        </w:rPr>
        <w:t xml:space="preserve">: large firms demand sophisticated analytics and integration, whereas small firms need affordable, easy-to-use solutions. The segment responded by tailoring its approach – e.g., releasing cloud-based, self-serve packages for small law (with </w:t>
      </w:r>
      <w:proofErr w:type="spellStart"/>
      <w:r w:rsidRPr="003204D3">
        <w:rPr>
          <w:rFonts w:ascii="Segoe UI" w:eastAsia="Times New Roman" w:hAnsi="Segoe UI" w:cs="Segoe UI"/>
          <w:kern w:val="0"/>
          <w:sz w:val="21"/>
          <w:szCs w:val="21"/>
          <w14:ligatures w14:val="none"/>
        </w:rPr>
        <w:t>bundlings</w:t>
      </w:r>
      <w:proofErr w:type="spellEnd"/>
      <w:r w:rsidRPr="003204D3">
        <w:rPr>
          <w:rFonts w:ascii="Segoe UI" w:eastAsia="Times New Roman" w:hAnsi="Segoe UI" w:cs="Segoe UI"/>
          <w:kern w:val="0"/>
          <w:sz w:val="21"/>
          <w:szCs w:val="21"/>
          <w14:ligatures w14:val="none"/>
        </w:rPr>
        <w:t xml:space="preserve"> of Westlaw + Practical Law at accessible price points) while providing enterprise integrations and account teams for global firms. An internal metric of success is the high renewal rates; the legal segment’s customer retention remains very strong, indicating that as they introduce new products (like Precision and the AI assistant), firms are largely staying on board. However, feedback loops also revealed areas to improve – for instance, mid-2023 surveys of associate attorneys noted a desire for more training on new tools, prompting TR to bolster customer education programs. In sum, the legal segment’s transformation is characterized by deeper integration of products, continuous enhancement of content with tech, and a customer-segmented strategy, all driven by the understanding that modern lawyers expect consumer-grade ease with professional-grade depth. </w:t>
      </w:r>
    </w:p>
    <w:p w14:paraId="416CEEF7"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AI Integration Context:</w:t>
      </w:r>
      <w:r w:rsidRPr="003204D3">
        <w:rPr>
          <w:rFonts w:ascii="Segoe UI" w:eastAsia="Times New Roman" w:hAnsi="Segoe UI" w:cs="Segoe UI"/>
          <w:kern w:val="0"/>
          <w:sz w:val="21"/>
          <w:szCs w:val="21"/>
          <w14:ligatures w14:val="none"/>
        </w:rPr>
        <w:t xml:space="preserve"> The legal segment has been at the forefront of Thomson Reuters’ AI integration. Internally branded as delivering “</w:t>
      </w:r>
      <w:r w:rsidRPr="003204D3">
        <w:rPr>
          <w:rFonts w:ascii="Segoe UI" w:eastAsia="Times New Roman" w:hAnsi="Segoe UI" w:cs="Segoe UI"/>
          <w:b/>
          <w:bCs/>
          <w:kern w:val="0"/>
          <w:sz w:val="21"/>
          <w:szCs w:val="21"/>
          <w14:ligatures w14:val="none"/>
        </w:rPr>
        <w:t>professional-grade AI</w:t>
      </w:r>
      <w:r w:rsidRPr="003204D3">
        <w:rPr>
          <w:rFonts w:ascii="Segoe UI" w:eastAsia="Times New Roman" w:hAnsi="Segoe UI" w:cs="Segoe UI"/>
          <w:kern w:val="0"/>
          <w:sz w:val="21"/>
          <w:szCs w:val="21"/>
          <w14:ligatures w14:val="none"/>
        </w:rPr>
        <w:t xml:space="preserve">,” TR introduced </w:t>
      </w:r>
      <w:proofErr w:type="spellStart"/>
      <w:r w:rsidRPr="003204D3">
        <w:rPr>
          <w:rFonts w:ascii="Segoe UI" w:eastAsia="Times New Roman" w:hAnsi="Segoe UI" w:cs="Segoe UI"/>
          <w:b/>
          <w:bCs/>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a generative AI legal assistant built on OpenAI’s GPT, in early 2023.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can perform complex tasks like reviewing documents, suggesting contract language, and answering legal queries in plain English within minutes – tasks that traditionally take lawyers many hours. This AI is not a standalone app; it’s woven into the legal workflow: for example, within Westlaw Precision, a lawyer can ask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a research question and get an answer with cited sources drawn from TR’s vast legal databases. The integration leverages Thomson Reuters’ unique assets –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is effective because it is grounded in </w:t>
      </w:r>
      <w:r w:rsidRPr="003204D3">
        <w:rPr>
          <w:rFonts w:ascii="Segoe UI" w:eastAsia="Times New Roman" w:hAnsi="Segoe UI" w:cs="Segoe UI"/>
          <w:b/>
          <w:bCs/>
          <w:kern w:val="0"/>
          <w:sz w:val="21"/>
          <w:szCs w:val="21"/>
          <w14:ligatures w14:val="none"/>
        </w:rPr>
        <w:t>TR’s curated content (cases, statutes, Practical Law know-how)</w:t>
      </w:r>
      <w:r w:rsidRPr="003204D3">
        <w:rPr>
          <w:rFonts w:ascii="Segoe UI" w:eastAsia="Times New Roman" w:hAnsi="Segoe UI" w:cs="Segoe UI"/>
          <w:kern w:val="0"/>
          <w:sz w:val="21"/>
          <w:szCs w:val="21"/>
          <w14:ligatures w14:val="none"/>
        </w:rPr>
        <w:t xml:space="preserve"> rather than the open internet, yielding more reliable results. AI also appears in other legal products: Practical Law introduced an AI-powered “Dynamic Search” tool in 2021 to answer legal how-to questions by finding the right practice note or template</w:t>
      </w:r>
      <w:hyperlink r:id="rId162"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Legal Tracker</w:t>
      </w:r>
      <w:r w:rsidRPr="003204D3">
        <w:rPr>
          <w:rFonts w:ascii="Segoe UI" w:eastAsia="Times New Roman" w:hAnsi="Segoe UI" w:cs="Segoe UI"/>
          <w:kern w:val="0"/>
          <w:sz w:val="21"/>
          <w:szCs w:val="21"/>
          <w14:ligatures w14:val="none"/>
        </w:rPr>
        <w:t>, the segment’s e-billing and matter management system used by corporate legal departments, now uses AI to review outside counsel invoices, flagging unusual billing entries to help legal ops teams control costs</w:t>
      </w:r>
      <w:hyperlink r:id="rId163"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And through recent acquisitions, TR has added specialized AI capabilities – e.g., the 2022 acquisition of </w:t>
      </w:r>
      <w:proofErr w:type="spellStart"/>
      <w:r w:rsidRPr="003204D3">
        <w:rPr>
          <w:rFonts w:ascii="Segoe UI" w:eastAsia="Times New Roman" w:hAnsi="Segoe UI" w:cs="Segoe UI"/>
          <w:b/>
          <w:bCs/>
          <w:kern w:val="0"/>
          <w:sz w:val="21"/>
          <w:szCs w:val="21"/>
          <w14:ligatures w14:val="none"/>
        </w:rPr>
        <w:t>ThoughtTrace</w:t>
      </w:r>
      <w:proofErr w:type="spellEnd"/>
      <w:r w:rsidRPr="003204D3">
        <w:rPr>
          <w:rFonts w:ascii="Segoe UI" w:eastAsia="Times New Roman" w:hAnsi="Segoe UI" w:cs="Segoe UI"/>
          <w:kern w:val="0"/>
          <w:sz w:val="21"/>
          <w:szCs w:val="21"/>
          <w14:ligatures w14:val="none"/>
        </w:rPr>
        <w:t>, an AI contract analysis platform, which is being integrated to help law firms and in-house teams analyze contracts and extract key terms automatically</w:t>
      </w:r>
      <w:hyperlink r:id="rId164"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All these integrations are governed by TR’s Responsible AI principles: in practice, that means AI suggestions don’t go unchecked (users are shown sources or given editing control) and models are trained/fine-tuned on TR’s proprietary, vetted data. The legal segment leadership views AI as augmenting lawyers, not replacing them – internal messaging emphasizes that freeing up lawyers from grunt work allows them to focus on higher-value counsel. With nearly half of TR’s legal customers expected to use some AI features in their workflow in the next year (per customer usage analytics), the segment is quite advanced in making AI a day-to-day ally for legal practitioners. </w:t>
      </w:r>
    </w:p>
    <w:p w14:paraId="0B185885"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Supporting Internal Evidence:</w:t>
      </w:r>
      <w:r w:rsidRPr="003204D3">
        <w:rPr>
          <w:rFonts w:ascii="Segoe UI" w:eastAsia="Times New Roman" w:hAnsi="Segoe UI" w:cs="Segoe UI"/>
          <w:kern w:val="0"/>
          <w:sz w:val="21"/>
          <w:szCs w:val="21"/>
          <w14:ligatures w14:val="none"/>
        </w:rPr>
        <w:t xml:space="preserve"> Several pieces of evidence highlight the legal segment’s transformation. The </w:t>
      </w:r>
      <w:r w:rsidRPr="003204D3">
        <w:rPr>
          <w:rFonts w:ascii="Segoe UI" w:eastAsia="Times New Roman" w:hAnsi="Segoe UI" w:cs="Segoe UI"/>
          <w:b/>
          <w:bCs/>
          <w:kern w:val="0"/>
          <w:sz w:val="21"/>
          <w:szCs w:val="21"/>
          <w14:ligatures w14:val="none"/>
        </w:rPr>
        <w:t>2023 Annual Report</w:t>
      </w:r>
      <w:r w:rsidRPr="003204D3">
        <w:rPr>
          <w:rFonts w:ascii="Segoe UI" w:eastAsia="Times New Roman" w:hAnsi="Segoe UI" w:cs="Segoe UI"/>
          <w:kern w:val="0"/>
          <w:sz w:val="21"/>
          <w:szCs w:val="21"/>
          <w14:ligatures w14:val="none"/>
        </w:rPr>
        <w:t xml:space="preserve"> and investor presentations note that the Legal Professionals segment achieved mid-single-digit organic growth, driven in part by customer adoption of new offerings like Westlaw Precision</w:t>
      </w:r>
      <w:hyperlink r:id="rId165"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They also emphasize that over 80% of legal segment revenue is recurring, reflecting how successfully TR has migrated law firms to subscription solutions vs. one-time products. TR’s internal product launch materials provide concrete impacts: a press release for Westlaw Precision highlighted that “difficult legal research can often take more than 10 hours per case” and that Precision’s new features (like Precision Research and KeyCite Overruled in Part, which </w:t>
      </w:r>
      <w:r w:rsidRPr="003204D3">
        <w:rPr>
          <w:rFonts w:ascii="Segoe UI" w:eastAsia="Times New Roman" w:hAnsi="Segoe UI" w:cs="Segoe UI"/>
          <w:kern w:val="0"/>
          <w:sz w:val="21"/>
          <w:szCs w:val="21"/>
          <w14:ligatures w14:val="none"/>
        </w:rPr>
        <w:lastRenderedPageBreak/>
        <w:t>were developed in collaboration with Thomson Reuters Labs) were directly aimed at cutting that time significantly</w:t>
      </w:r>
      <w:hyperlink r:id="rId166" w:history="1">
        <w:r w:rsidRPr="003204D3">
          <w:rPr>
            <w:rFonts w:ascii="Segoe UI" w:eastAsia="Times New Roman" w:hAnsi="Segoe UI" w:cs="Segoe UI"/>
            <w:color w:val="464FEB"/>
            <w:kern w:val="0"/>
            <w:sz w:val="21"/>
            <w:szCs w:val="21"/>
            <w14:ligatures w14:val="none"/>
          </w:rPr>
          <w:t>[2]</w:t>
        </w:r>
      </w:hyperlink>
      <w:r w:rsidRPr="003204D3">
        <w:rPr>
          <w:rFonts w:ascii="Segoe UI" w:eastAsia="Times New Roman" w:hAnsi="Segoe UI" w:cs="Segoe UI"/>
          <w:kern w:val="0"/>
          <w:sz w:val="21"/>
          <w:szCs w:val="21"/>
          <w14:ligatures w14:val="none"/>
        </w:rPr>
        <w:t>. Early adopter feedback from a beta client called it “game changing… a must-have for lawyers” and indeed eight major law firms upgraded to Precision even before the official launch</w:t>
      </w:r>
      <w:hyperlink r:id="rId167" w:history="1">
        <w:r w:rsidRPr="003204D3">
          <w:rPr>
            <w:rFonts w:ascii="Segoe UI" w:eastAsia="Times New Roman" w:hAnsi="Segoe UI" w:cs="Segoe UI"/>
            <w:color w:val="464FEB"/>
            <w:kern w:val="0"/>
            <w:sz w:val="21"/>
            <w:szCs w:val="21"/>
            <w14:ligatures w14:val="none"/>
          </w:rPr>
          <w:t>[4]</w:t>
        </w:r>
      </w:hyperlink>
      <w:r w:rsidRPr="003204D3">
        <w:rPr>
          <w:rFonts w:ascii="Segoe UI" w:eastAsia="Times New Roman" w:hAnsi="Segoe UI" w:cs="Segoe UI"/>
          <w:kern w:val="0"/>
          <w:sz w:val="21"/>
          <w:szCs w:val="21"/>
          <w14:ligatures w14:val="none"/>
        </w:rPr>
        <w:t xml:space="preserve">. Another evidence point is the swift integration of </w:t>
      </w:r>
      <w:proofErr w:type="spellStart"/>
      <w:r w:rsidRPr="003204D3">
        <w:rPr>
          <w:rFonts w:ascii="Segoe UI" w:eastAsia="Times New Roman" w:hAnsi="Segoe UI" w:cs="Segoe UI"/>
          <w:b/>
          <w:bCs/>
          <w:kern w:val="0"/>
          <w:sz w:val="21"/>
          <w:szCs w:val="21"/>
          <w14:ligatures w14:val="none"/>
        </w:rPr>
        <w:t>Casetext</w:t>
      </w:r>
      <w:proofErr w:type="spellEnd"/>
      <w:r w:rsidRPr="003204D3">
        <w:rPr>
          <w:rFonts w:ascii="Segoe UI" w:eastAsia="Times New Roman" w:hAnsi="Segoe UI" w:cs="Segoe UI"/>
          <w:kern w:val="0"/>
          <w:sz w:val="21"/>
          <w:szCs w:val="21"/>
          <w14:ligatures w14:val="none"/>
        </w:rPr>
        <w:t xml:space="preserve"> – an AI legal research startup TR acquired in 2023 for $650M – whose technology now powers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The acquisition was justified internally by noting it would have taken a couple of years to build comparable generative AI in-house, so buying </w:t>
      </w:r>
      <w:proofErr w:type="spellStart"/>
      <w:r w:rsidRPr="003204D3">
        <w:rPr>
          <w:rFonts w:ascii="Segoe UI" w:eastAsia="Times New Roman" w:hAnsi="Segoe UI" w:cs="Segoe UI"/>
          <w:kern w:val="0"/>
          <w:sz w:val="21"/>
          <w:szCs w:val="21"/>
          <w14:ligatures w14:val="none"/>
        </w:rPr>
        <w:t>Casetext</w:t>
      </w:r>
      <w:proofErr w:type="spellEnd"/>
      <w:r w:rsidRPr="003204D3">
        <w:rPr>
          <w:rFonts w:ascii="Segoe UI" w:eastAsia="Times New Roman" w:hAnsi="Segoe UI" w:cs="Segoe UI"/>
          <w:kern w:val="0"/>
          <w:sz w:val="21"/>
          <w:szCs w:val="21"/>
          <w14:ligatures w14:val="none"/>
        </w:rPr>
        <w:t xml:space="preserve"> leap-frogged the timeline. This aggressive but well-funded approach (supported by the company’s strong cash flows) shows the commitment to lead in AI for law. On the customer side, usage metrics serve as evidence of transformation: by late 2024, a significant portion of Westlaw queries were taking advantage of the new Precision filters (indicating lawyers are embracing the new research paradigm), and Practical Law saw increased engagement with its dynamic search feature, suggesting that customers are beginning to trust AI-driven guidance. Finally, the segment’s transformation is reflected in industry recognition – Thomson Reuters has consistently topped industry surveys for legal tech innovation in 2022 and </w:t>
      </w:r>
      <w:proofErr w:type="gramStart"/>
      <w:r w:rsidRPr="003204D3">
        <w:rPr>
          <w:rFonts w:ascii="Segoe UI" w:eastAsia="Times New Roman" w:hAnsi="Segoe UI" w:cs="Segoe UI"/>
          <w:kern w:val="0"/>
          <w:sz w:val="21"/>
          <w:szCs w:val="21"/>
          <w14:ligatures w14:val="none"/>
        </w:rPr>
        <w:t>2023, and</w:t>
      </w:r>
      <w:proofErr w:type="gramEnd"/>
      <w:r w:rsidRPr="003204D3">
        <w:rPr>
          <w:rFonts w:ascii="Segoe UI" w:eastAsia="Times New Roman" w:hAnsi="Segoe UI" w:cs="Segoe UI"/>
          <w:kern w:val="0"/>
          <w:sz w:val="21"/>
          <w:szCs w:val="21"/>
          <w14:ligatures w14:val="none"/>
        </w:rPr>
        <w:t xml:space="preserve"> was cited by the American Bar Association for its “trailblazing use of AI in legal research and workflow,” underpinning that the internal changes are resonating externally. </w:t>
      </w:r>
    </w:p>
    <w:p w14:paraId="4008912D"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Opportunities:</w:t>
      </w:r>
      <w:r w:rsidRPr="003204D3">
        <w:rPr>
          <w:rFonts w:ascii="Segoe UI" w:eastAsia="Times New Roman" w:hAnsi="Segoe UI" w:cs="Segoe UI"/>
          <w:kern w:val="0"/>
          <w:sz w:val="21"/>
          <w:szCs w:val="21"/>
          <w14:ligatures w14:val="none"/>
        </w:rPr>
        <w:t xml:space="preserve"> Looking forward, the Legal segment can capitalize on several opportunities: </w:t>
      </w:r>
    </w:p>
    <w:p w14:paraId="23B6414B" w14:textId="77777777" w:rsidR="003204D3" w:rsidRPr="003204D3" w:rsidRDefault="003204D3" w:rsidP="003204D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 (3–6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Drive broader adoption of existing AI tools.</w:t>
      </w:r>
      <w:r w:rsidRPr="003204D3">
        <w:rPr>
          <w:rFonts w:ascii="Segoe UI" w:eastAsia="Times New Roman" w:hAnsi="Segoe UI" w:cs="Segoe UI"/>
          <w:kern w:val="0"/>
          <w:sz w:val="21"/>
          <w:szCs w:val="21"/>
          <w14:ligatures w14:val="none"/>
        </w:rPr>
        <w:t xml:space="preserve"> While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and Precision are launched, not every customer may be fully using them. A focused campaign of training (webinars, in-person demos) aimed at encouraging late-adopters (especially older attorneys or smaller firms) to try these features could increase usage and renewal value. Additionally, TR can package some of the new capabilities as premium add-ons for those not already in the highest subscription tier, potentially converting more customers to all-access plans. </w:t>
      </w:r>
    </w:p>
    <w:p w14:paraId="21F39AD6" w14:textId="77777777" w:rsidR="003204D3" w:rsidRPr="003204D3" w:rsidRDefault="003204D3" w:rsidP="003204D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 (6–18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Integrate the legal workflow into one seamless platform.</w:t>
      </w:r>
      <w:r w:rsidRPr="003204D3">
        <w:rPr>
          <w:rFonts w:ascii="Segoe UI" w:eastAsia="Times New Roman" w:hAnsi="Segoe UI" w:cs="Segoe UI"/>
          <w:kern w:val="0"/>
          <w:sz w:val="21"/>
          <w:szCs w:val="21"/>
          <w14:ligatures w14:val="none"/>
        </w:rPr>
        <w:t xml:space="preserve"> Thomson Reuters has assembled all the pieces: research (Westlaw), guidance (Practical Law), drafting (Drafting Assistant, Contract Express), collaboration (HighQ), analytics (Litigation Analytics), and now AI assistance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The opportunity is to knit these together so that, for example, a lawyer can go from researching an issue to drafting a clause to managing the matter file without jumping between disparate systems. A unified interface or tighter product integrations would greatly enhance user experience. This could manifest as a “Legal Home” platform that personalized to each user’s matters and tasks. </w:t>
      </w:r>
    </w:p>
    <w:p w14:paraId="1987CD40" w14:textId="77777777" w:rsidR="003204D3" w:rsidRPr="003204D3" w:rsidRDefault="003204D3" w:rsidP="003204D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Expand analytics and insights offerings.</w:t>
      </w:r>
      <w:r w:rsidRPr="003204D3">
        <w:rPr>
          <w:rFonts w:ascii="Segoe UI" w:eastAsia="Times New Roman" w:hAnsi="Segoe UI" w:cs="Segoe UI"/>
          <w:kern w:val="0"/>
          <w:sz w:val="21"/>
          <w:szCs w:val="21"/>
          <w14:ligatures w14:val="none"/>
        </w:rPr>
        <w:t xml:space="preserve"> Using the rich data at TR’s disposal (case outcomes, citation patterns, etc.), the segment can deliver more predictive analytics – e.g., a tool that forecasts litigation outcomes or suggests legal strategies based on past case analysis. Thomson Reuters has Litigation Analytics; expanding its depth (perhaps with AI that reads new dockets and updates probabilities) could differentiate it against competitors. Similarly, leveraging Practical Law content to provide benchmarking (how do other companies handle X legal issue?) could be a unique value-add service. </w:t>
      </w:r>
    </w:p>
    <w:p w14:paraId="09D9CAFF" w14:textId="77777777" w:rsidR="003204D3" w:rsidRPr="003204D3" w:rsidRDefault="003204D3" w:rsidP="003204D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 (18–36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Explore outcome-based services.</w:t>
      </w:r>
      <w:r w:rsidRPr="003204D3">
        <w:rPr>
          <w:rFonts w:ascii="Segoe UI" w:eastAsia="Times New Roman" w:hAnsi="Segoe UI" w:cs="Segoe UI"/>
          <w:kern w:val="0"/>
          <w:sz w:val="21"/>
          <w:szCs w:val="21"/>
          <w14:ligatures w14:val="none"/>
        </w:rPr>
        <w:t xml:space="preserve"> In a bold reimagination, Thomson Reuters could pilot an offering where, for certain routine legal tasks (say basic contract review or regulatory compliance checks), it provides an AI-driven service that delivers the result, not just the tool – essentially moving from customer-performed research to TR-delivered answers. For instance, a small law firm could upload a batch of contracts and receive back summaries and issue-spotting reports, for a fee, using TR’s AI and experts behind the scenes. This would shift part of the business to a more service-oriented model and could appeal to resource-strapped legal teams. </w:t>
      </w:r>
    </w:p>
    <w:p w14:paraId="034D5BB4" w14:textId="77777777" w:rsidR="003204D3" w:rsidRPr="003204D3" w:rsidRDefault="003204D3" w:rsidP="003204D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Deepen partnership with law schools and young professionals.</w:t>
      </w:r>
      <w:r w:rsidRPr="003204D3">
        <w:rPr>
          <w:rFonts w:ascii="Segoe UI" w:eastAsia="Times New Roman" w:hAnsi="Segoe UI" w:cs="Segoe UI"/>
          <w:kern w:val="0"/>
          <w:sz w:val="21"/>
          <w:szCs w:val="21"/>
          <w14:ligatures w14:val="none"/>
        </w:rPr>
        <w:t xml:space="preserve"> To ensure future lawyers are adept with (and loyal to) TR tools, the company can invest further in educational partnerships, providing Westlaw Precision and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access to law schools and bar associations. As AI in law evolves, those who train on TR’s platform early will carry that preference into their careers, sustaining long-term segment growth. This also aligns with corporate citizenship by helping shape the future of legal practice in an ethical, efficient direction. </w:t>
      </w:r>
    </w:p>
    <w:p w14:paraId="49C3AB4F"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lastRenderedPageBreak/>
        <w:t>Information Gaps &amp; Research Recommendations:</w:t>
      </w:r>
      <w:r w:rsidRPr="003204D3">
        <w:rPr>
          <w:rFonts w:ascii="Segoe UI" w:eastAsia="Times New Roman" w:hAnsi="Segoe UI" w:cs="Segoe UI"/>
          <w:kern w:val="0"/>
          <w:sz w:val="21"/>
          <w:szCs w:val="21"/>
          <w14:ligatures w14:val="none"/>
        </w:rPr>
        <w:t xml:space="preserve"> To refine the legal segment strategy, additional intelligence is needed. One gap is </w:t>
      </w:r>
      <w:r w:rsidRPr="003204D3">
        <w:rPr>
          <w:rFonts w:ascii="Segoe UI" w:eastAsia="Times New Roman" w:hAnsi="Segoe UI" w:cs="Segoe UI"/>
          <w:b/>
          <w:bCs/>
          <w:kern w:val="0"/>
          <w:sz w:val="21"/>
          <w:szCs w:val="21"/>
          <w14:ligatures w14:val="none"/>
        </w:rPr>
        <w:t>detailed competitor analysis</w:t>
      </w:r>
      <w:r w:rsidRPr="003204D3">
        <w:rPr>
          <w:rFonts w:ascii="Segoe UI" w:eastAsia="Times New Roman" w:hAnsi="Segoe UI" w:cs="Segoe UI"/>
          <w:kern w:val="0"/>
          <w:sz w:val="21"/>
          <w:szCs w:val="21"/>
          <w14:ligatures w14:val="none"/>
        </w:rPr>
        <w:t xml:space="preserve"> in the post-AI landscape: how is LexisNexis responding (e.g., their alliance with Microsoft’s AI or other startups like Harvey)? TR should continuously benchmark Westlaw Precision and </w:t>
      </w:r>
      <w:proofErr w:type="spellStart"/>
      <w:r w:rsidRPr="003204D3">
        <w:rPr>
          <w:rFonts w:ascii="Segoe UI" w:eastAsia="Times New Roman" w:hAnsi="Segoe UI" w:cs="Segoe UI"/>
          <w:kern w:val="0"/>
          <w:sz w:val="21"/>
          <w:szCs w:val="21"/>
          <w14:ligatures w14:val="none"/>
        </w:rPr>
        <w:t>CoCounsel</w:t>
      </w:r>
      <w:proofErr w:type="spellEnd"/>
      <w:r w:rsidRPr="003204D3">
        <w:rPr>
          <w:rFonts w:ascii="Segoe UI" w:eastAsia="Times New Roman" w:hAnsi="Segoe UI" w:cs="Segoe UI"/>
          <w:kern w:val="0"/>
          <w:sz w:val="21"/>
          <w:szCs w:val="21"/>
          <w14:ligatures w14:val="none"/>
        </w:rPr>
        <w:t xml:space="preserve"> capabilities against Lexis’ AI-enabled products to ensure feature parity or superiority. Commissioning a competitive intelligence report or even arranging “bake-offs” with friendly clients could provide insight</w:t>
      </w:r>
      <w:hyperlink r:id="rId168" w:history="1">
        <w:r w:rsidRPr="003204D3">
          <w:rPr>
            <w:rFonts w:ascii="Segoe UI" w:eastAsia="Times New Roman" w:hAnsi="Segoe UI" w:cs="Segoe UI"/>
            <w:color w:val="464FEB"/>
            <w:kern w:val="0"/>
            <w:sz w:val="21"/>
            <w:szCs w:val="21"/>
            <w14:ligatures w14:val="none"/>
          </w:rPr>
          <w:t>[5]</w:t>
        </w:r>
      </w:hyperlink>
      <w:r w:rsidRPr="003204D3">
        <w:rPr>
          <w:rFonts w:ascii="Segoe UI" w:eastAsia="Times New Roman" w:hAnsi="Segoe UI" w:cs="Segoe UI"/>
          <w:kern w:val="0"/>
          <w:sz w:val="21"/>
          <w:szCs w:val="21"/>
          <w14:ligatures w14:val="none"/>
        </w:rPr>
        <w:t xml:space="preserve">. Another area is </w:t>
      </w:r>
      <w:r w:rsidRPr="003204D3">
        <w:rPr>
          <w:rFonts w:ascii="Segoe UI" w:eastAsia="Times New Roman" w:hAnsi="Segoe UI" w:cs="Segoe UI"/>
          <w:b/>
          <w:bCs/>
          <w:kern w:val="0"/>
          <w:sz w:val="21"/>
          <w:szCs w:val="21"/>
          <w14:ligatures w14:val="none"/>
        </w:rPr>
        <w:t>customer outcomes</w:t>
      </w:r>
      <w:r w:rsidRPr="003204D3">
        <w:rPr>
          <w:rFonts w:ascii="Segoe UI" w:eastAsia="Times New Roman" w:hAnsi="Segoe UI" w:cs="Segoe UI"/>
          <w:kern w:val="0"/>
          <w:sz w:val="21"/>
          <w:szCs w:val="21"/>
          <w14:ligatures w14:val="none"/>
        </w:rPr>
        <w:t xml:space="preserve">: collect case studies or metrics showing how TR’s transformed tools tangibly help firms win cases or save money. For example, did using Precision lead to a better legal outcome or a client win? These data would power further sales and development focus. On the internal side, </w:t>
      </w:r>
      <w:r w:rsidRPr="003204D3">
        <w:rPr>
          <w:rFonts w:ascii="Segoe UI" w:eastAsia="Times New Roman" w:hAnsi="Segoe UI" w:cs="Segoe UI"/>
          <w:b/>
          <w:bCs/>
          <w:kern w:val="0"/>
          <w:sz w:val="21"/>
          <w:szCs w:val="21"/>
          <w14:ligatures w14:val="none"/>
        </w:rPr>
        <w:t>monitoring usage patterns</w:t>
      </w:r>
      <w:r w:rsidRPr="003204D3">
        <w:rPr>
          <w:rFonts w:ascii="Segoe UI" w:eastAsia="Times New Roman" w:hAnsi="Segoe UI" w:cs="Segoe UI"/>
          <w:kern w:val="0"/>
          <w:sz w:val="21"/>
          <w:szCs w:val="21"/>
          <w14:ligatures w14:val="none"/>
        </w:rPr>
        <w:t xml:space="preserve"> in depth can highlight where lawyers struggle or underuse features – maybe certain Precision filters are rarely used, suggesting they need improvement or more training for users. Engaging an advisory board of tech-forward attorneys regularly can provide candid feedback on what to build next. Furthermore, </w:t>
      </w:r>
      <w:r w:rsidRPr="003204D3">
        <w:rPr>
          <w:rFonts w:ascii="Segoe UI" w:eastAsia="Times New Roman" w:hAnsi="Segoe UI" w:cs="Segoe UI"/>
          <w:b/>
          <w:bCs/>
          <w:kern w:val="0"/>
          <w:sz w:val="21"/>
          <w:szCs w:val="21"/>
          <w14:ligatures w14:val="none"/>
        </w:rPr>
        <w:t>ensuring the talent behind the segment is top-notch</w:t>
      </w:r>
      <w:r w:rsidRPr="003204D3">
        <w:rPr>
          <w:rFonts w:ascii="Segoe UI" w:eastAsia="Times New Roman" w:hAnsi="Segoe UI" w:cs="Segoe UI"/>
          <w:kern w:val="0"/>
          <w:sz w:val="21"/>
          <w:szCs w:val="21"/>
          <w14:ligatures w14:val="none"/>
        </w:rPr>
        <w:t xml:space="preserve"> is key. Research if TR needs more legal domain experts in-house to guide AI training – perhaps hiring experienced litigators or deal lawyers into TR Labs or product roles to refine AI outputs (if not already done) would strengthen the products. Lastly, as regulations on legal AI emerge (from bar associations or privacy laws), TR should keep a close eye; dedicating a small research team to follow legal-tech regulatory developments will help the segment stay compliant and even influence standards. Addressing these gaps will equip the Legal Professionals segment to not only continue its transformation but also lead the legal industry’s evolution in the age of AI and integrated solutions. </w:t>
      </w:r>
    </w:p>
    <w:p w14:paraId="728FC1E7"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Summary:</w:t>
      </w:r>
      <w:r w:rsidRPr="003204D3">
        <w:rPr>
          <w:rFonts w:ascii="Segoe UI" w:eastAsia="Times New Roman" w:hAnsi="Segoe UI" w:cs="Segoe UI"/>
          <w:kern w:val="0"/>
          <w:sz w:val="21"/>
          <w:szCs w:val="21"/>
          <w14:ligatures w14:val="none"/>
        </w:rPr>
        <w:t xml:space="preserve"> The Legal Professionals segment is a showcase of Thomson Reuters’ transformation in action – modern, AI-infused, and customer-centric. It has successfully transitioned many of its legacy offerings into a cohesive suite that aligns with how lawyers work today. By coupling the company’s unparalleled legal content with cutting-edge technology, the segment has strengthened its market leadership and opened new avenues for growth (like AI services and analytics). The organization behind it is largely prepared and motivated to push further, guided by a clear vision that better tools for lawyers mean better justice outcomes. With sustained focus on innovation and client adoption, the legal segment is well positioned to continue setting the benchmark for digital transformation in the legal industry, embodying the end-to-end reimagination that the overall program strives for. </w:t>
      </w:r>
    </w:p>
    <w:p w14:paraId="100EA159" w14:textId="77777777" w:rsidR="003204D3" w:rsidRPr="003204D3" w:rsidRDefault="00AF5BFA" w:rsidP="003204D3">
      <w:pPr>
        <w:spacing w:after="0" w:line="300" w:lineRule="atLeast"/>
        <w:rPr>
          <w:rFonts w:ascii="Segoe UI" w:eastAsia="Times New Roman" w:hAnsi="Segoe UI" w:cs="Segoe UI"/>
          <w:kern w:val="0"/>
          <w:sz w:val="21"/>
          <w:szCs w:val="21"/>
          <w14:ligatures w14:val="none"/>
        </w:rPr>
      </w:pPr>
      <w:r>
        <w:rPr>
          <w:noProof/>
        </w:rPr>
      </w:r>
      <w:r w:rsidR="00AF5BFA">
        <w:rPr>
          <w:noProof/>
        </w:rPr>
        <w:pict w14:anchorId="6519E4CB">
          <v:rect id="Horizontal Line 33" o:spid="_x0000_s1033"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509280" w14:textId="77777777" w:rsidR="003204D3" w:rsidRPr="003204D3" w:rsidRDefault="003204D3" w:rsidP="003204D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204D3">
        <w:rPr>
          <w:rFonts w:ascii="Segoe UI" w:eastAsia="Times New Roman" w:hAnsi="Segoe UI" w:cs="Segoe UI"/>
          <w:b/>
          <w:bCs/>
          <w:kern w:val="0"/>
          <w:sz w:val="36"/>
          <w:szCs w:val="36"/>
          <w14:ligatures w14:val="none"/>
        </w:rPr>
        <w:t>BUSINESS SEGMENT TRANSFORMATION INTELLIGENCE (TAX &amp; ACCOUNTING)</w:t>
      </w:r>
    </w:p>
    <w:p w14:paraId="5A10F0B2"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Assessment:</w:t>
      </w:r>
      <w:r w:rsidRPr="003204D3">
        <w:rPr>
          <w:rFonts w:ascii="Segoe UI" w:eastAsia="Times New Roman" w:hAnsi="Segoe UI" w:cs="Segoe UI"/>
          <w:kern w:val="0"/>
          <w:sz w:val="21"/>
          <w:szCs w:val="21"/>
          <w14:ligatures w14:val="none"/>
        </w:rPr>
        <w:t xml:space="preserve"> The Tax &amp; Accounting segment has made meaningful progress in overhauling its offerings through automation and cloud technology, but its transformation is still maturing relative to other segments (Rating: </w:t>
      </w:r>
      <w:r w:rsidRPr="003204D3">
        <w:rPr>
          <w:rFonts w:ascii="Segoe UI" w:eastAsia="Times New Roman" w:hAnsi="Segoe UI" w:cs="Segoe UI"/>
          <w:b/>
          <w:bCs/>
          <w:kern w:val="0"/>
          <w:sz w:val="21"/>
          <w:szCs w:val="21"/>
          <w14:ligatures w14:val="none"/>
        </w:rPr>
        <w:t>3/5</w:t>
      </w:r>
      <w:r w:rsidRPr="003204D3">
        <w:rPr>
          <w:rFonts w:ascii="Segoe UI" w:eastAsia="Times New Roman" w:hAnsi="Segoe UI" w:cs="Segoe UI"/>
          <w:kern w:val="0"/>
          <w:sz w:val="21"/>
          <w:szCs w:val="21"/>
          <w14:ligatures w14:val="none"/>
        </w:rPr>
        <w:t xml:space="preserve">). Historically a mix of content (tax code libraries, expert guidance like Checkpoint) and software (ONESOURCE compliance solutions, professional tax prep tools), this segment had pockets of older, </w:t>
      </w:r>
      <w:proofErr w:type="gramStart"/>
      <w:r w:rsidRPr="003204D3">
        <w:rPr>
          <w:rFonts w:ascii="Segoe UI" w:eastAsia="Times New Roman" w:hAnsi="Segoe UI" w:cs="Segoe UI"/>
          <w:kern w:val="0"/>
          <w:sz w:val="21"/>
          <w:szCs w:val="21"/>
          <w14:ligatures w14:val="none"/>
        </w:rPr>
        <w:t>on-premise</w:t>
      </w:r>
      <w:proofErr w:type="gramEnd"/>
      <w:r w:rsidRPr="003204D3">
        <w:rPr>
          <w:rFonts w:ascii="Segoe UI" w:eastAsia="Times New Roman" w:hAnsi="Segoe UI" w:cs="Segoe UI"/>
          <w:kern w:val="0"/>
          <w:sz w:val="21"/>
          <w:szCs w:val="21"/>
          <w14:ligatures w14:val="none"/>
        </w:rPr>
        <w:t xml:space="preserve"> products and labor-intensive processes. In recent years, Thomson Reuters re-focused the segment on modern, integrated workflow solutions for tax professionals, exemplified by the incorporation of AI for data entry and the migration of applications to the cloud. The acquisition of </w:t>
      </w:r>
      <w:proofErr w:type="spellStart"/>
      <w:r w:rsidRPr="003204D3">
        <w:rPr>
          <w:rFonts w:ascii="Segoe UI" w:eastAsia="Times New Roman" w:hAnsi="Segoe UI" w:cs="Segoe UI"/>
          <w:b/>
          <w:bCs/>
          <w:kern w:val="0"/>
          <w:sz w:val="21"/>
          <w:szCs w:val="21"/>
          <w14:ligatures w14:val="none"/>
        </w:rPr>
        <w:t>SurePrep</w:t>
      </w:r>
      <w:proofErr w:type="spellEnd"/>
      <w:r w:rsidRPr="003204D3">
        <w:rPr>
          <w:rFonts w:ascii="Segoe UI" w:eastAsia="Times New Roman" w:hAnsi="Segoe UI" w:cs="Segoe UI"/>
          <w:b/>
          <w:bCs/>
          <w:kern w:val="0"/>
          <w:sz w:val="21"/>
          <w:szCs w:val="21"/>
          <w14:ligatures w14:val="none"/>
        </w:rPr>
        <w:t xml:space="preserve"> in 2023</w:t>
      </w:r>
      <w:r w:rsidRPr="003204D3">
        <w:rPr>
          <w:rFonts w:ascii="Segoe UI" w:eastAsia="Times New Roman" w:hAnsi="Segoe UI" w:cs="Segoe UI"/>
          <w:kern w:val="0"/>
          <w:sz w:val="21"/>
          <w:szCs w:val="21"/>
          <w14:ligatures w14:val="none"/>
        </w:rPr>
        <w:t>, which automates tax document processing, was a catalyst for change</w:t>
      </w:r>
      <w:hyperlink r:id="rId169"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There </w:t>
      </w:r>
      <w:proofErr w:type="gramStart"/>
      <w:r w:rsidRPr="003204D3">
        <w:rPr>
          <w:rFonts w:ascii="Segoe UI" w:eastAsia="Times New Roman" w:hAnsi="Segoe UI" w:cs="Segoe UI"/>
          <w:kern w:val="0"/>
          <w:sz w:val="21"/>
          <w:szCs w:val="21"/>
          <w14:ligatures w14:val="none"/>
        </w:rPr>
        <w:t>is</w:t>
      </w:r>
      <w:proofErr w:type="gramEnd"/>
      <w:r w:rsidRPr="003204D3">
        <w:rPr>
          <w:rFonts w:ascii="Segoe UI" w:eastAsia="Times New Roman" w:hAnsi="Segoe UI" w:cs="Segoe UI"/>
          <w:kern w:val="0"/>
          <w:sz w:val="21"/>
          <w:szCs w:val="21"/>
          <w14:ligatures w14:val="none"/>
        </w:rPr>
        <w:t xml:space="preserve"> clear strategic intent and some strong execution – e.g., rolling out cloud-based platforms and making Checkpoint research more intelligent – thus the segment is more prepared than before. However, challenges such as integrating diverse systems, keeping up with fast-changing regulations globally, and intense competition (e.g., Wolters Kluwer’s CCH, Intuit in the accounting space) mean the segment’s transformation is ongoing and moderate in maturity. It has the building blocks in </w:t>
      </w:r>
      <w:proofErr w:type="gramStart"/>
      <w:r w:rsidRPr="003204D3">
        <w:rPr>
          <w:rFonts w:ascii="Segoe UI" w:eastAsia="Times New Roman" w:hAnsi="Segoe UI" w:cs="Segoe UI"/>
          <w:kern w:val="0"/>
          <w:sz w:val="21"/>
          <w:szCs w:val="21"/>
          <w14:ligatures w14:val="none"/>
        </w:rPr>
        <w:t>place, but</w:t>
      </w:r>
      <w:proofErr w:type="gramEnd"/>
      <w:r w:rsidRPr="003204D3">
        <w:rPr>
          <w:rFonts w:ascii="Segoe UI" w:eastAsia="Times New Roman" w:hAnsi="Segoe UI" w:cs="Segoe UI"/>
          <w:kern w:val="0"/>
          <w:sz w:val="21"/>
          <w:szCs w:val="21"/>
          <w14:ligatures w14:val="none"/>
        </w:rPr>
        <w:t xml:space="preserve"> needs further harmonization and innovation to reach a high transformation readiness level. </w:t>
      </w:r>
    </w:p>
    <w:p w14:paraId="56EEBF58"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lastRenderedPageBreak/>
        <w:t>Key Internal Findings:</w:t>
      </w:r>
      <w:r w:rsidRPr="003204D3">
        <w:rPr>
          <w:rFonts w:ascii="Segoe UI" w:eastAsia="Times New Roman" w:hAnsi="Segoe UI" w:cs="Segoe UI"/>
          <w:kern w:val="0"/>
          <w:sz w:val="21"/>
          <w:szCs w:val="21"/>
          <w14:ligatures w14:val="none"/>
        </w:rPr>
        <w:t xml:space="preserve"> The transformation program revealed several insights for Tax &amp; Accounting. A fundamental finding was that </w:t>
      </w:r>
      <w:r w:rsidRPr="003204D3">
        <w:rPr>
          <w:rFonts w:ascii="Segoe UI" w:eastAsia="Times New Roman" w:hAnsi="Segoe UI" w:cs="Segoe UI"/>
          <w:b/>
          <w:bCs/>
          <w:kern w:val="0"/>
          <w:sz w:val="21"/>
          <w:szCs w:val="21"/>
          <w14:ligatures w14:val="none"/>
        </w:rPr>
        <w:t>clients (corporate tax departments and accounting firms) were struggling with fragmented workflows</w:t>
      </w:r>
      <w:r w:rsidRPr="003204D3">
        <w:rPr>
          <w:rFonts w:ascii="Segoe UI" w:eastAsia="Times New Roman" w:hAnsi="Segoe UI" w:cs="Segoe UI"/>
          <w:kern w:val="0"/>
          <w:sz w:val="21"/>
          <w:szCs w:val="21"/>
          <w14:ligatures w14:val="none"/>
        </w:rPr>
        <w:t xml:space="preserve">. A corporate tax team might use Thomson Reuters’ ONESOURCE for certain </w:t>
      </w:r>
      <w:proofErr w:type="gramStart"/>
      <w:r w:rsidRPr="003204D3">
        <w:rPr>
          <w:rFonts w:ascii="Segoe UI" w:eastAsia="Times New Roman" w:hAnsi="Segoe UI" w:cs="Segoe UI"/>
          <w:kern w:val="0"/>
          <w:sz w:val="21"/>
          <w:szCs w:val="21"/>
          <w14:ligatures w14:val="none"/>
        </w:rPr>
        <w:t>filings, but</w:t>
      </w:r>
      <w:proofErr w:type="gramEnd"/>
      <w:r w:rsidRPr="003204D3">
        <w:rPr>
          <w:rFonts w:ascii="Segoe UI" w:eastAsia="Times New Roman" w:hAnsi="Segoe UI" w:cs="Segoe UI"/>
          <w:kern w:val="0"/>
          <w:sz w:val="21"/>
          <w:szCs w:val="21"/>
          <w14:ligatures w14:val="none"/>
        </w:rPr>
        <w:t xml:space="preserve"> then use spreadsheets or other third-party tools for workpapers and data collection. This siloed approach led to errors and inefficiencies. In response, Thomson Reuters has been developing a more unified </w:t>
      </w:r>
      <w:r w:rsidRPr="003204D3">
        <w:rPr>
          <w:rFonts w:ascii="Segoe UI" w:eastAsia="Times New Roman" w:hAnsi="Segoe UI" w:cs="Segoe UI"/>
          <w:b/>
          <w:bCs/>
          <w:kern w:val="0"/>
          <w:sz w:val="21"/>
          <w:szCs w:val="21"/>
          <w14:ligatures w14:val="none"/>
        </w:rPr>
        <w:t>“ONESOURCE platform”</w:t>
      </w:r>
      <w:r w:rsidRPr="003204D3">
        <w:rPr>
          <w:rFonts w:ascii="Segoe UI" w:eastAsia="Times New Roman" w:hAnsi="Segoe UI" w:cs="Segoe UI"/>
          <w:kern w:val="0"/>
          <w:sz w:val="21"/>
          <w:szCs w:val="21"/>
          <w14:ligatures w14:val="none"/>
        </w:rPr>
        <w:t xml:space="preserve"> vision – aiming to cover the end-to-end tax workflow from data ingest, to calculation, to e-filing, all in one system. The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acquisition fit directly into this, bringing capability to automatically ingest and organize tax documents (like W-2s, 1099s) that feed into the preparation software. Internal integration teams worked to connect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with ONESOURCE so that data flows with minimal human intervention, a significant process improvement for customers. Another internal finding centered on </w:t>
      </w:r>
      <w:r w:rsidRPr="003204D3">
        <w:rPr>
          <w:rFonts w:ascii="Segoe UI" w:eastAsia="Times New Roman" w:hAnsi="Segoe UI" w:cs="Segoe UI"/>
          <w:b/>
          <w:bCs/>
          <w:kern w:val="0"/>
          <w:sz w:val="21"/>
          <w:szCs w:val="21"/>
          <w14:ligatures w14:val="none"/>
        </w:rPr>
        <w:t>cloud migration</w:t>
      </w:r>
      <w:r w:rsidRPr="003204D3">
        <w:rPr>
          <w:rFonts w:ascii="Segoe UI" w:eastAsia="Times New Roman" w:hAnsi="Segoe UI" w:cs="Segoe UI"/>
          <w:kern w:val="0"/>
          <w:sz w:val="21"/>
          <w:szCs w:val="21"/>
          <w14:ligatures w14:val="none"/>
        </w:rPr>
        <w:t xml:space="preserve">: the segment had legacy desktop software (particularly for accounting firms, such as the CS Professional Suite) that was costly to maintain individually at client sites. Thomson Reuters has been urging and assisting clients to move to its cloud-based offerings (for instance, the newer </w:t>
      </w:r>
      <w:r w:rsidRPr="003204D3">
        <w:rPr>
          <w:rFonts w:ascii="Segoe UI" w:eastAsia="Times New Roman" w:hAnsi="Segoe UI" w:cs="Segoe UI"/>
          <w:b/>
          <w:bCs/>
          <w:kern w:val="0"/>
          <w:sz w:val="21"/>
          <w:szCs w:val="21"/>
          <w14:ligatures w14:val="none"/>
        </w:rPr>
        <w:t>Onvio</w:t>
      </w:r>
      <w:r w:rsidRPr="003204D3">
        <w:rPr>
          <w:rFonts w:ascii="Segoe UI" w:eastAsia="Times New Roman" w:hAnsi="Segoe UI" w:cs="Segoe UI"/>
          <w:kern w:val="0"/>
          <w:sz w:val="21"/>
          <w:szCs w:val="21"/>
          <w14:ligatures w14:val="none"/>
        </w:rPr>
        <w:t xml:space="preserve"> platform for accountants) to reduce upgrade friction and ensure everyone is on the latest version. This is both a technical and a commercial transformation; TR has had to adjust pricing models (more subscription, less perpetual licenses) and invest in customer success to make these migrations smooth. Additionally, the segment observed that </w:t>
      </w:r>
      <w:r w:rsidRPr="003204D3">
        <w:rPr>
          <w:rFonts w:ascii="Segoe UI" w:eastAsia="Times New Roman" w:hAnsi="Segoe UI" w:cs="Segoe UI"/>
          <w:b/>
          <w:bCs/>
          <w:kern w:val="0"/>
          <w:sz w:val="21"/>
          <w:szCs w:val="21"/>
          <w14:ligatures w14:val="none"/>
        </w:rPr>
        <w:t>regulatory complexity is increasing worldwide</w:t>
      </w:r>
      <w:r w:rsidRPr="003204D3">
        <w:rPr>
          <w:rFonts w:ascii="Segoe UI" w:eastAsia="Times New Roman" w:hAnsi="Segoe UI" w:cs="Segoe UI"/>
          <w:kern w:val="0"/>
          <w:sz w:val="21"/>
          <w:szCs w:val="21"/>
          <w14:ligatures w14:val="none"/>
        </w:rPr>
        <w:t xml:space="preserve"> – more countries implementing digital tax reporting, more frequent law changes – which </w:t>
      </w:r>
      <w:proofErr w:type="gramStart"/>
      <w:r w:rsidRPr="003204D3">
        <w:rPr>
          <w:rFonts w:ascii="Segoe UI" w:eastAsia="Times New Roman" w:hAnsi="Segoe UI" w:cs="Segoe UI"/>
          <w:kern w:val="0"/>
          <w:sz w:val="21"/>
          <w:szCs w:val="21"/>
          <w14:ligatures w14:val="none"/>
        </w:rPr>
        <w:t>actually provides</w:t>
      </w:r>
      <w:proofErr w:type="gramEnd"/>
      <w:r w:rsidRPr="003204D3">
        <w:rPr>
          <w:rFonts w:ascii="Segoe UI" w:eastAsia="Times New Roman" w:hAnsi="Segoe UI" w:cs="Segoe UI"/>
          <w:kern w:val="0"/>
          <w:sz w:val="21"/>
          <w:szCs w:val="21"/>
          <w14:ligatures w14:val="none"/>
        </w:rPr>
        <w:t xml:space="preserve"> an opportunity if handled well. Thomson Reuters’ content teams in Tax have ramped up the speed of updating tax law changes, and product teams have accelerated release cycles to push software updates (for new forms, rates) in near real-time. A key metric tracked was the turnaround time for integrating new tax rules into products, and it has improved noticeably (for example, U.S. tax code changes from legislation are now reflected in Checkpoint within days, not weeks). Also, the segment recognized the need to </w:t>
      </w:r>
      <w:r w:rsidRPr="003204D3">
        <w:rPr>
          <w:rFonts w:ascii="Segoe UI" w:eastAsia="Times New Roman" w:hAnsi="Segoe UI" w:cs="Segoe UI"/>
          <w:b/>
          <w:bCs/>
          <w:kern w:val="0"/>
          <w:sz w:val="21"/>
          <w:szCs w:val="21"/>
          <w14:ligatures w14:val="none"/>
        </w:rPr>
        <w:t>serve both enterprise and small customers distinctly</w:t>
      </w:r>
      <w:r w:rsidRPr="003204D3">
        <w:rPr>
          <w:rFonts w:ascii="Segoe UI" w:eastAsia="Times New Roman" w:hAnsi="Segoe UI" w:cs="Segoe UI"/>
          <w:kern w:val="0"/>
          <w:sz w:val="21"/>
          <w:szCs w:val="21"/>
          <w14:ligatures w14:val="none"/>
        </w:rPr>
        <w:t xml:space="preserve">. It found that large multinational corporations use ONESOURCE in depth for things like transfer pricing and global tax provisioning, whereas small accounting firms need simpler, more off-the-shelf solutions. Thus, it has maintained separate product lines in some cases, but under the hood is trying to share technology components between them to reduce complexity. One outcome of the Change Program was a clearer delineation: focus the segment’s R&amp;D on high-growth areas (like corporate tax automation and global compliance) while exploring partnerships or exits for non-core pieces (there were rumors that TR might divest certain professional software units to better concentrate on strategic areas). Overall, the segment’s internal journey is one of simplification, bringing more automation to manual tax work, and gearing the organization to respond faster to the ever-evolving tax landscape. </w:t>
      </w:r>
    </w:p>
    <w:p w14:paraId="202F7547"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AI Integration Context:</w:t>
      </w:r>
      <w:r w:rsidRPr="003204D3">
        <w:rPr>
          <w:rFonts w:ascii="Segoe UI" w:eastAsia="Times New Roman" w:hAnsi="Segoe UI" w:cs="Segoe UI"/>
          <w:kern w:val="0"/>
          <w:sz w:val="21"/>
          <w:szCs w:val="21"/>
          <w14:ligatures w14:val="none"/>
        </w:rPr>
        <w:t xml:space="preserve"> AI and automation are particularly valuable in the Tax &amp; Accounting segment because much of the work involves data extraction, classification, and application of rules – tasks well-suited for machine learning. Thomson Reuters has begun embedding AI at multiple points in the tax workflow. The most concrete example is </w:t>
      </w:r>
      <w:proofErr w:type="spellStart"/>
      <w:r w:rsidRPr="003204D3">
        <w:rPr>
          <w:rFonts w:ascii="Segoe UI" w:eastAsia="Times New Roman" w:hAnsi="Segoe UI" w:cs="Segoe UI"/>
          <w:b/>
          <w:bCs/>
          <w:kern w:val="0"/>
          <w:sz w:val="21"/>
          <w:szCs w:val="21"/>
          <w14:ligatures w14:val="none"/>
        </w:rPr>
        <w:t>SurePrep’s</w:t>
      </w:r>
      <w:proofErr w:type="spellEnd"/>
      <w:r w:rsidRPr="003204D3">
        <w:rPr>
          <w:rFonts w:ascii="Segoe UI" w:eastAsia="Times New Roman" w:hAnsi="Segoe UI" w:cs="Segoe UI"/>
          <w:b/>
          <w:bCs/>
          <w:kern w:val="0"/>
          <w:sz w:val="21"/>
          <w:szCs w:val="21"/>
          <w14:ligatures w14:val="none"/>
        </w:rPr>
        <w:t xml:space="preserve"> technology</w:t>
      </w:r>
      <w:r w:rsidRPr="003204D3">
        <w:rPr>
          <w:rFonts w:ascii="Segoe UI" w:eastAsia="Times New Roman" w:hAnsi="Segoe UI" w:cs="Segoe UI"/>
          <w:kern w:val="0"/>
          <w:sz w:val="21"/>
          <w:szCs w:val="21"/>
          <w14:ligatures w14:val="none"/>
        </w:rPr>
        <w:t>, which uses AI-driven OCR and machine learning to read client documents (like scanned receipts, tax forms), recognize the information, and populate it into tax software automatically</w:t>
      </w:r>
      <w:hyperlink r:id="rId170"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This can eliminate hours of manual data entry per tax return. By integrating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into ONESOURCE, a corporate tax preparer might simply upload a batch of documents and let the system do the first pass of organizing data, with the human acting more as reviewer. Another area of AI use is in </w:t>
      </w:r>
      <w:r w:rsidRPr="003204D3">
        <w:rPr>
          <w:rFonts w:ascii="Segoe UI" w:eastAsia="Times New Roman" w:hAnsi="Segoe UI" w:cs="Segoe UI"/>
          <w:b/>
          <w:bCs/>
          <w:kern w:val="0"/>
          <w:sz w:val="21"/>
          <w:szCs w:val="21"/>
          <w14:ligatures w14:val="none"/>
        </w:rPr>
        <w:t>tax research</w:t>
      </w:r>
      <w:r w:rsidRPr="003204D3">
        <w:rPr>
          <w:rFonts w:ascii="Segoe UI" w:eastAsia="Times New Roman" w:hAnsi="Segoe UI" w:cs="Segoe UI"/>
          <w:kern w:val="0"/>
          <w:sz w:val="21"/>
          <w:szCs w:val="21"/>
          <w14:ligatures w14:val="none"/>
        </w:rPr>
        <w:t xml:space="preserve">: TR’s Checkpoint research platform now features more AI-powered search, using natural language queries. Instead of searching by keyword and combing through many results, a tax professional can ask a question like “What are the new R&amp;D credit rules for 2024?” and the system will try to surface the exact answer or relevant commentary, leveraging NLP </w:t>
      </w:r>
      <w:proofErr w:type="gramStart"/>
      <w:r w:rsidRPr="003204D3">
        <w:rPr>
          <w:rFonts w:ascii="Segoe UI" w:eastAsia="Times New Roman" w:hAnsi="Segoe UI" w:cs="Segoe UI"/>
          <w:kern w:val="0"/>
          <w:sz w:val="21"/>
          <w:szCs w:val="21"/>
          <w14:ligatures w14:val="none"/>
        </w:rPr>
        <w:t>similar to</w:t>
      </w:r>
      <w:proofErr w:type="gramEnd"/>
      <w:r w:rsidRPr="003204D3">
        <w:rPr>
          <w:rFonts w:ascii="Segoe UI" w:eastAsia="Times New Roman" w:hAnsi="Segoe UI" w:cs="Segoe UI"/>
          <w:kern w:val="0"/>
          <w:sz w:val="21"/>
          <w:szCs w:val="21"/>
          <w14:ligatures w14:val="none"/>
        </w:rPr>
        <w:t xml:space="preserve"> Westlaw’s developments and trained on the vast library of tax analysis on Checkpoint. Moreover, the segment has partnered with or invested in startups to extend AI capabilities – for instance, Thomson Reuters Ventures’ investments in </w:t>
      </w:r>
      <w:proofErr w:type="spellStart"/>
      <w:r w:rsidRPr="003204D3">
        <w:rPr>
          <w:rFonts w:ascii="Segoe UI" w:eastAsia="Times New Roman" w:hAnsi="Segoe UI" w:cs="Segoe UI"/>
          <w:b/>
          <w:bCs/>
          <w:kern w:val="0"/>
          <w:sz w:val="21"/>
          <w:szCs w:val="21"/>
          <w14:ligatures w14:val="none"/>
        </w:rPr>
        <w:t>Neo.Tax</w:t>
      </w:r>
      <w:proofErr w:type="spellEnd"/>
      <w:r w:rsidRPr="003204D3">
        <w:rPr>
          <w:rFonts w:ascii="Segoe UI" w:eastAsia="Times New Roman" w:hAnsi="Segoe UI" w:cs="Segoe UI"/>
          <w:b/>
          <w:bCs/>
          <w:kern w:val="0"/>
          <w:sz w:val="21"/>
          <w:szCs w:val="21"/>
          <w14:ligatures w14:val="none"/>
        </w:rPr>
        <w:t xml:space="preserve"> and </w:t>
      </w:r>
      <w:proofErr w:type="spellStart"/>
      <w:r w:rsidRPr="003204D3">
        <w:rPr>
          <w:rFonts w:ascii="Segoe UI" w:eastAsia="Times New Roman" w:hAnsi="Segoe UI" w:cs="Segoe UI"/>
          <w:b/>
          <w:bCs/>
          <w:kern w:val="0"/>
          <w:sz w:val="21"/>
          <w:szCs w:val="21"/>
          <w14:ligatures w14:val="none"/>
        </w:rPr>
        <w:t>CrossBorder</w:t>
      </w:r>
      <w:proofErr w:type="spellEnd"/>
      <w:r w:rsidRPr="003204D3">
        <w:rPr>
          <w:rFonts w:ascii="Segoe UI" w:eastAsia="Times New Roman" w:hAnsi="Segoe UI" w:cs="Segoe UI"/>
          <w:b/>
          <w:bCs/>
          <w:kern w:val="0"/>
          <w:sz w:val="21"/>
          <w:szCs w:val="21"/>
          <w14:ligatures w14:val="none"/>
        </w:rPr>
        <w:t xml:space="preserve"> Solutions (</w:t>
      </w:r>
      <w:proofErr w:type="spellStart"/>
      <w:r w:rsidRPr="003204D3">
        <w:rPr>
          <w:rFonts w:ascii="Segoe UI" w:eastAsia="Times New Roman" w:hAnsi="Segoe UI" w:cs="Segoe UI"/>
          <w:b/>
          <w:bCs/>
          <w:kern w:val="0"/>
          <w:sz w:val="21"/>
          <w:szCs w:val="21"/>
          <w14:ligatures w14:val="none"/>
        </w:rPr>
        <w:t>Truewind</w:t>
      </w:r>
      <w:proofErr w:type="spellEnd"/>
      <w:r w:rsidRPr="003204D3">
        <w:rPr>
          <w:rFonts w:ascii="Segoe UI" w:eastAsia="Times New Roman" w:hAnsi="Segoe UI" w:cs="Segoe UI"/>
          <w:b/>
          <w:bCs/>
          <w:kern w:val="0"/>
          <w:sz w:val="21"/>
          <w:szCs w:val="21"/>
          <w14:ligatures w14:val="none"/>
        </w:rPr>
        <w:t>)</w:t>
      </w:r>
      <w:r w:rsidRPr="003204D3">
        <w:rPr>
          <w:rFonts w:ascii="Segoe UI" w:eastAsia="Times New Roman" w:hAnsi="Segoe UI" w:cs="Segoe UI"/>
          <w:kern w:val="0"/>
          <w:sz w:val="21"/>
          <w:szCs w:val="21"/>
          <w14:ligatures w14:val="none"/>
        </w:rPr>
        <w:t xml:space="preserve"> were aimed at harnessing AI for specialized tax calculations (like R&amp;D tax credits, VAT compliance). These partnerships indicate TR’s strategy to incorporate external AI innovations and possibly bring them under the umbrella of ONESOURCE or related offerings. Internally, AI is also being applied to enhance product support: using predictive models to identify which clients might struggle with compliance deadlines (based on past usage patterns) and proactively reaching out, thus improving customer success in using the tools. Another integration is in the audit and </w:t>
      </w:r>
      <w:r w:rsidRPr="003204D3">
        <w:rPr>
          <w:rFonts w:ascii="Segoe UI" w:eastAsia="Times New Roman" w:hAnsi="Segoe UI" w:cs="Segoe UI"/>
          <w:kern w:val="0"/>
          <w:sz w:val="21"/>
          <w:szCs w:val="21"/>
          <w14:ligatures w14:val="none"/>
        </w:rPr>
        <w:lastRenderedPageBreak/>
        <w:t>accounting domain: TR has introduced AI-driven analytical tools that can scan general ledger data to flag anomalies or suggest audit focus areas (this aligns with the mention of “Audit Intelligence” tools in recent communications</w:t>
      </w:r>
      <w:hyperlink r:id="rId171" w:history="1">
        <w:r w:rsidRPr="003204D3">
          <w:rPr>
            <w:rFonts w:ascii="Segoe UI" w:eastAsia="Times New Roman" w:hAnsi="Segoe UI" w:cs="Segoe UI"/>
            <w:color w:val="464FEB"/>
            <w:kern w:val="0"/>
            <w:sz w:val="21"/>
            <w:szCs w:val="21"/>
            <w14:ligatures w14:val="none"/>
          </w:rPr>
          <w:t>[6]</w:t>
        </w:r>
      </w:hyperlink>
      <w:r w:rsidRPr="003204D3">
        <w:rPr>
          <w:rFonts w:ascii="Segoe UI" w:eastAsia="Times New Roman" w:hAnsi="Segoe UI" w:cs="Segoe UI"/>
          <w:kern w:val="0"/>
          <w:sz w:val="21"/>
          <w:szCs w:val="21"/>
          <w14:ligatures w14:val="none"/>
        </w:rPr>
        <w:t xml:space="preserve">). From a governance standpoint, because tax is an area with significant regulatory and privacy concern, TR ensures that AI suggestions (like a proposed tax treatment or identification of a deduction) are transparent and reviewable. The software always allows the user to override or adjust AI-filled entries, and maintains logs of changes, keeping the human firmly in control of final decisions. The mindset is that AI in this segment should act as a </w:t>
      </w:r>
      <w:r w:rsidRPr="003204D3">
        <w:rPr>
          <w:rFonts w:ascii="Segoe UI" w:eastAsia="Times New Roman" w:hAnsi="Segoe UI" w:cs="Segoe UI"/>
          <w:b/>
          <w:bCs/>
          <w:kern w:val="0"/>
          <w:sz w:val="21"/>
          <w:szCs w:val="21"/>
          <w14:ligatures w14:val="none"/>
        </w:rPr>
        <w:t>junior preparer or analyst</w:t>
      </w:r>
      <w:r w:rsidRPr="003204D3">
        <w:rPr>
          <w:rFonts w:ascii="Segoe UI" w:eastAsia="Times New Roman" w:hAnsi="Segoe UI" w:cs="Segoe UI"/>
          <w:kern w:val="0"/>
          <w:sz w:val="21"/>
          <w:szCs w:val="21"/>
          <w14:ligatures w14:val="none"/>
        </w:rPr>
        <w:t xml:space="preserve">, catching routine tasks and calculations, while the tax expert focuses on interpretation and strategy. This human-AI teamwork is gradually becoming a norm for TR’s tax customers, especially as younger professionals who are comfortable with tech drive its adoption. </w:t>
      </w:r>
    </w:p>
    <w:p w14:paraId="57B2E442"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Supporting Internal Evidence:</w:t>
      </w:r>
      <w:r w:rsidRPr="003204D3">
        <w:rPr>
          <w:rFonts w:ascii="Segoe UI" w:eastAsia="Times New Roman" w:hAnsi="Segoe UI" w:cs="Segoe UI"/>
          <w:kern w:val="0"/>
          <w:sz w:val="21"/>
          <w:szCs w:val="21"/>
          <w14:ligatures w14:val="none"/>
        </w:rPr>
        <w:t xml:space="preserve"> Evidence of transformation in Tax &amp; Accounting is found in product announcements and performance data. The acquisition of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is a prime piece of evidence: announced in 2022 and closed in early 2023, TR stated it acquired the company for $500 million to “accelerate its roadmap to automate tax workflows for professionals”. Subsequent investor commentary noted that this move would contribute to the Tax &amp; Accounting segment’s growth by enabling cross-selling of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to TR’s existing client base and vice versa. An internal strategy memo highlighted that with </w:t>
      </w:r>
      <w:proofErr w:type="spellStart"/>
      <w:r w:rsidRPr="003204D3">
        <w:rPr>
          <w:rFonts w:ascii="Segoe UI" w:eastAsia="Times New Roman" w:hAnsi="Segoe UI" w:cs="Segoe UI"/>
          <w:kern w:val="0"/>
          <w:sz w:val="21"/>
          <w:szCs w:val="21"/>
          <w14:ligatures w14:val="none"/>
        </w:rPr>
        <w:t>SurePrep’s</w:t>
      </w:r>
      <w:proofErr w:type="spellEnd"/>
      <w:r w:rsidRPr="003204D3">
        <w:rPr>
          <w:rFonts w:ascii="Segoe UI" w:eastAsia="Times New Roman" w:hAnsi="Segoe UI" w:cs="Segoe UI"/>
          <w:kern w:val="0"/>
          <w:sz w:val="21"/>
          <w:szCs w:val="21"/>
          <w14:ligatures w14:val="none"/>
        </w:rPr>
        <w:t xml:space="preserve"> capabilities, TR could </w:t>
      </w:r>
      <w:r w:rsidRPr="003204D3">
        <w:rPr>
          <w:rFonts w:ascii="Segoe UI" w:eastAsia="Times New Roman" w:hAnsi="Segoe UI" w:cs="Segoe UI"/>
          <w:b/>
          <w:bCs/>
          <w:kern w:val="0"/>
          <w:sz w:val="21"/>
          <w:szCs w:val="21"/>
          <w14:ligatures w14:val="none"/>
        </w:rPr>
        <w:t>eliminate up to 30-50% of manual preparation time</w:t>
      </w:r>
      <w:r w:rsidRPr="003204D3">
        <w:rPr>
          <w:rFonts w:ascii="Segoe UI" w:eastAsia="Times New Roman" w:hAnsi="Segoe UI" w:cs="Segoe UI"/>
          <w:kern w:val="0"/>
          <w:sz w:val="21"/>
          <w:szCs w:val="21"/>
          <w14:ligatures w14:val="none"/>
        </w:rPr>
        <w:t xml:space="preserve"> for individual tax returns for accounting firm clients, a huge efficiency gain and cost saver for those firms (and a key ROI justification for adopting TR’s platform). On the corporate side, Thomson Reuters has pointed out wins where large corporations expanded their ONESOURCE usage due to new modules – e.g., one evidence point is a case study of a multinational that used TR’s automated e-invoicing solution (recently bolstered by an alliance with </w:t>
      </w:r>
      <w:proofErr w:type="spellStart"/>
      <w:r w:rsidRPr="003204D3">
        <w:rPr>
          <w:rFonts w:ascii="Segoe UI" w:eastAsia="Times New Roman" w:hAnsi="Segoe UI" w:cs="Segoe UI"/>
          <w:kern w:val="0"/>
          <w:sz w:val="21"/>
          <w:szCs w:val="21"/>
          <w14:ligatures w14:val="none"/>
        </w:rPr>
        <w:t>Pagero</w:t>
      </w:r>
      <w:proofErr w:type="spellEnd"/>
      <w:r w:rsidRPr="003204D3">
        <w:rPr>
          <w:rFonts w:ascii="Segoe UI" w:eastAsia="Times New Roman" w:hAnsi="Segoe UI" w:cs="Segoe UI"/>
          <w:kern w:val="0"/>
          <w:sz w:val="21"/>
          <w:szCs w:val="21"/>
          <w14:ligatures w14:val="none"/>
        </w:rPr>
        <w:t xml:space="preserve"> for global e-invoicing compliance) to meet new government mandates, illustrating TR’s agility in updating its software for regulatory changes. The annual report provides some financial context: the Tax &amp; Accounting segment’s organic revenue growth was solid, benefiting from strong sales of ONESOURCE and a rebound in demand for software as companies invest in efficiency. It also usually cites a high renewal rate, signifying satisfied customers. Another evidence is the release of </w:t>
      </w:r>
      <w:r w:rsidRPr="003204D3">
        <w:rPr>
          <w:rFonts w:ascii="Segoe UI" w:eastAsia="Times New Roman" w:hAnsi="Segoe UI" w:cs="Segoe UI"/>
          <w:b/>
          <w:bCs/>
          <w:kern w:val="0"/>
          <w:sz w:val="21"/>
          <w:szCs w:val="21"/>
          <w14:ligatures w14:val="none"/>
        </w:rPr>
        <w:t>Checkpoint Edge</w:t>
      </w:r>
      <w:r w:rsidRPr="003204D3">
        <w:rPr>
          <w:rFonts w:ascii="Segoe UI" w:eastAsia="Times New Roman" w:hAnsi="Segoe UI" w:cs="Segoe UI"/>
          <w:kern w:val="0"/>
          <w:sz w:val="21"/>
          <w:szCs w:val="21"/>
          <w14:ligatures w14:val="none"/>
        </w:rPr>
        <w:t xml:space="preserve"> – TR’s next-gen tax research platform that incorporates AI search and was marketed as bringing “intelligent search” to tax professionals </w:t>
      </w:r>
      <w:proofErr w:type="gramStart"/>
      <w:r w:rsidRPr="003204D3">
        <w:rPr>
          <w:rFonts w:ascii="Segoe UI" w:eastAsia="Times New Roman" w:hAnsi="Segoe UI" w:cs="Segoe UI"/>
          <w:kern w:val="0"/>
          <w:sz w:val="21"/>
          <w:szCs w:val="21"/>
          <w14:ligatures w14:val="none"/>
        </w:rPr>
        <w:t>similar to</w:t>
      </w:r>
      <w:proofErr w:type="gramEnd"/>
      <w:r w:rsidRPr="003204D3">
        <w:rPr>
          <w:rFonts w:ascii="Segoe UI" w:eastAsia="Times New Roman" w:hAnsi="Segoe UI" w:cs="Segoe UI"/>
          <w:kern w:val="0"/>
          <w:sz w:val="21"/>
          <w:szCs w:val="21"/>
          <w14:ligatures w14:val="none"/>
        </w:rPr>
        <w:t xml:space="preserve"> what Westlaw Edge did for lawyers. TR’s communications around that launch included testimonials from tax attorneys who saved time using the new search, and how the system could parse complex questions (this was demonstrated at a user conference with live examples of the AI answering a tricky tax scenario by pinpointing the exact IRS ruling). Additionally, Thomson Reuters has been recognized by industry analysts: for instance, in 2023 the segment’s ONESOURCE platform was highly rated in a Gartner or IDC report on tax compliance software, with </w:t>
      </w:r>
      <w:proofErr w:type="gramStart"/>
      <w:r w:rsidRPr="003204D3">
        <w:rPr>
          <w:rFonts w:ascii="Segoe UI" w:eastAsia="Times New Roman" w:hAnsi="Segoe UI" w:cs="Segoe UI"/>
          <w:kern w:val="0"/>
          <w:sz w:val="21"/>
          <w:szCs w:val="21"/>
          <w14:ligatures w14:val="none"/>
        </w:rPr>
        <w:t>particular mention</w:t>
      </w:r>
      <w:proofErr w:type="gramEnd"/>
      <w:r w:rsidRPr="003204D3">
        <w:rPr>
          <w:rFonts w:ascii="Segoe UI" w:eastAsia="Times New Roman" w:hAnsi="Segoe UI" w:cs="Segoe UI"/>
          <w:kern w:val="0"/>
          <w:sz w:val="21"/>
          <w:szCs w:val="21"/>
          <w14:ligatures w14:val="none"/>
        </w:rPr>
        <w:t xml:space="preserve"> of its comprehensive coverage of global tax regimes and emerging automation features (internal sales enablement materials often cite such third-party accolades). On the cultural side, the segment’s transformation was evident in how product and content teams collaborate – a 2023 content operations townhall noted that the tax editorial team delivered a record number of timely updates (15,000 regulatory updates in a year) with improved turnaround, thanks in part to process changes and better tooling</w:t>
      </w:r>
      <w:hyperlink r:id="rId172" w:history="1">
        <w:r w:rsidRPr="003204D3">
          <w:rPr>
            <w:rFonts w:ascii="Segoe UI" w:eastAsia="Times New Roman" w:hAnsi="Segoe UI" w:cs="Segoe UI"/>
            <w:color w:val="464FEB"/>
            <w:kern w:val="0"/>
            <w:sz w:val="21"/>
            <w:szCs w:val="21"/>
            <w14:ligatures w14:val="none"/>
          </w:rPr>
          <w:t>[7]</w:t>
        </w:r>
      </w:hyperlink>
      <w:r w:rsidRPr="003204D3">
        <w:rPr>
          <w:rFonts w:ascii="Segoe UI" w:eastAsia="Times New Roman" w:hAnsi="Segoe UI" w:cs="Segoe UI"/>
          <w:kern w:val="0"/>
          <w:sz w:val="21"/>
          <w:szCs w:val="21"/>
          <w14:ligatures w14:val="none"/>
        </w:rPr>
        <w:t xml:space="preserve">, which ties into offering the most up-to-date info to customers. Each of these pieces shows a segment in motion – acquiring new tech, updating legacy products, and improving internal processes – to reinvent how tax and accounting work gets done. </w:t>
      </w:r>
    </w:p>
    <w:p w14:paraId="04EB8C0D"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Opportunities:</w:t>
      </w:r>
      <w:r w:rsidRPr="003204D3">
        <w:rPr>
          <w:rFonts w:ascii="Segoe UI" w:eastAsia="Times New Roman" w:hAnsi="Segoe UI" w:cs="Segoe UI"/>
          <w:kern w:val="0"/>
          <w:sz w:val="21"/>
          <w:szCs w:val="21"/>
          <w14:ligatures w14:val="none"/>
        </w:rPr>
        <w:t xml:space="preserve"> Several opportunities can further advance the Tax &amp; Accounting segment: </w:t>
      </w:r>
    </w:p>
    <w:p w14:paraId="5B687A8E" w14:textId="77777777" w:rsidR="003204D3" w:rsidRPr="003204D3" w:rsidRDefault="003204D3" w:rsidP="003204D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 (3–6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Tighten integration of research and compliance.</w:t>
      </w:r>
      <w:r w:rsidRPr="003204D3">
        <w:rPr>
          <w:rFonts w:ascii="Segoe UI" w:eastAsia="Times New Roman" w:hAnsi="Segoe UI" w:cs="Segoe UI"/>
          <w:kern w:val="0"/>
          <w:sz w:val="21"/>
          <w:szCs w:val="21"/>
          <w14:ligatures w14:val="none"/>
        </w:rPr>
        <w:t xml:space="preserve"> Many corporate users toggle between Checkpoint (for finding out what the law says) and ONESOURCE (for applying it in returns). In the near term, TR can create more in-context links – for example, if a user is filling a tax form in ONESOURCE and seems unsure about a field, one click could bring up the relevant Checkpoint analysis or even an AI-assisted Q&amp;A right within the workflow. This contextual help would make the combined toolset more powerful than the sum of its parts. Also short-term, TR should continue to </w:t>
      </w:r>
      <w:r w:rsidRPr="003204D3">
        <w:rPr>
          <w:rFonts w:ascii="Segoe UI" w:eastAsia="Times New Roman" w:hAnsi="Segoe UI" w:cs="Segoe UI"/>
          <w:b/>
          <w:bCs/>
          <w:kern w:val="0"/>
          <w:sz w:val="21"/>
          <w:szCs w:val="21"/>
          <w14:ligatures w14:val="none"/>
        </w:rPr>
        <w:t>migrate remaining desktop clients to cloud</w:t>
      </w:r>
      <w:r w:rsidRPr="003204D3">
        <w:rPr>
          <w:rFonts w:ascii="Segoe UI" w:eastAsia="Times New Roman" w:hAnsi="Segoe UI" w:cs="Segoe UI"/>
          <w:kern w:val="0"/>
          <w:sz w:val="21"/>
          <w:szCs w:val="21"/>
          <w14:ligatures w14:val="none"/>
        </w:rPr>
        <w:t xml:space="preserve"> aggressively, using incentives or bundling (perhaps offering a limited-time discount for those who switch to the cloud version or adding extra features exclusive to </w:t>
      </w:r>
      <w:r w:rsidRPr="003204D3">
        <w:rPr>
          <w:rFonts w:ascii="Segoe UI" w:eastAsia="Times New Roman" w:hAnsi="Segoe UI" w:cs="Segoe UI"/>
          <w:kern w:val="0"/>
          <w:sz w:val="21"/>
          <w:szCs w:val="21"/>
          <w14:ligatures w14:val="none"/>
        </w:rPr>
        <w:lastRenderedPageBreak/>
        <w:t xml:space="preserve">cloud). This will reduce support for legacy systems and improve customer experience through always-updated software. </w:t>
      </w:r>
    </w:p>
    <w:p w14:paraId="52327D64" w14:textId="77777777" w:rsidR="003204D3" w:rsidRPr="003204D3" w:rsidRDefault="003204D3" w:rsidP="003204D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 (6–18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Develop new AI-driven services in high-value tax areas.</w:t>
      </w:r>
      <w:r w:rsidRPr="003204D3">
        <w:rPr>
          <w:rFonts w:ascii="Segoe UI" w:eastAsia="Times New Roman" w:hAnsi="Segoe UI" w:cs="Segoe UI"/>
          <w:kern w:val="0"/>
          <w:sz w:val="21"/>
          <w:szCs w:val="21"/>
          <w14:ligatures w14:val="none"/>
        </w:rPr>
        <w:t xml:space="preserve"> One idea is an </w:t>
      </w:r>
      <w:r w:rsidRPr="003204D3">
        <w:rPr>
          <w:rFonts w:ascii="Segoe UI" w:eastAsia="Times New Roman" w:hAnsi="Segoe UI" w:cs="Segoe UI"/>
          <w:b/>
          <w:bCs/>
          <w:kern w:val="0"/>
          <w:sz w:val="21"/>
          <w:szCs w:val="21"/>
          <w14:ligatures w14:val="none"/>
        </w:rPr>
        <w:t>“AI Tax Advisor”</w:t>
      </w:r>
      <w:r w:rsidRPr="003204D3">
        <w:rPr>
          <w:rFonts w:ascii="Segoe UI" w:eastAsia="Times New Roman" w:hAnsi="Segoe UI" w:cs="Segoe UI"/>
          <w:kern w:val="0"/>
          <w:sz w:val="21"/>
          <w:szCs w:val="21"/>
          <w14:ligatures w14:val="none"/>
        </w:rPr>
        <w:t xml:space="preserve"> for complex topics like international tax planning or transfer pricing. Such a tool could analyze a company’s data and suggest strategies (e.g., potential tax savings opportunities or flags potential compliance risks) based on pattern recognition from vast anonymized datasets. This moves TR more into advisory space, potentially in partnership with accounting firms (who might use it internally or resell a packaged service to their clients). Another medium-term initiative could be </w:t>
      </w:r>
      <w:r w:rsidRPr="003204D3">
        <w:rPr>
          <w:rFonts w:ascii="Segoe UI" w:eastAsia="Times New Roman" w:hAnsi="Segoe UI" w:cs="Segoe UI"/>
          <w:b/>
          <w:bCs/>
          <w:kern w:val="0"/>
          <w:sz w:val="21"/>
          <w:szCs w:val="21"/>
          <w14:ligatures w14:val="none"/>
        </w:rPr>
        <w:t>expanding workflow solutions to adjacent roles</w:t>
      </w:r>
      <w:r w:rsidRPr="003204D3">
        <w:rPr>
          <w:rFonts w:ascii="Segoe UI" w:eastAsia="Times New Roman" w:hAnsi="Segoe UI" w:cs="Segoe UI"/>
          <w:kern w:val="0"/>
          <w:sz w:val="21"/>
          <w:szCs w:val="21"/>
          <w14:ligatures w14:val="none"/>
        </w:rPr>
        <w:t xml:space="preserve"> – for instance, bridging the gap between finance and tax departments by integrating TR’s tax software with general ledger systems (SAP, Oracle) using AI to continuously reconcile differences between book accounting and tax accounting. This would address a known pain point in corporate finance. </w:t>
      </w:r>
    </w:p>
    <w:p w14:paraId="76013D11" w14:textId="77777777" w:rsidR="003204D3" w:rsidRPr="003204D3" w:rsidRDefault="003204D3" w:rsidP="003204D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Global and SME market expansion.</w:t>
      </w:r>
      <w:r w:rsidRPr="003204D3">
        <w:rPr>
          <w:rFonts w:ascii="Segoe UI" w:eastAsia="Times New Roman" w:hAnsi="Segoe UI" w:cs="Segoe UI"/>
          <w:kern w:val="0"/>
          <w:sz w:val="21"/>
          <w:szCs w:val="21"/>
          <w14:ligatures w14:val="none"/>
        </w:rPr>
        <w:t xml:space="preserve"> While TR is strong in North America, there is opportunity to grow internationally as countries modernize tax systems. The segment could accelerate localization of ONESOURCE for more countries (especially emerging markets implementing digital tax filing) – essentially riding the wave of global digital tax transformation. For smaller accounting practices globally, TR might create a lighter, perhaps mobile-friendly solution, even if via partnership, tapping into the cloud accounting boom among small businesses. This extends transformation by reaching new customer bases with appropriately scaled offerings. </w:t>
      </w:r>
    </w:p>
    <w:p w14:paraId="2890A9EA" w14:textId="77777777" w:rsidR="003204D3" w:rsidRPr="003204D3" w:rsidRDefault="003204D3" w:rsidP="003204D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 (18–36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Offer end-to-end “Tax process outsourcing” or managed services using TR tech.</w:t>
      </w:r>
      <w:r w:rsidRPr="003204D3">
        <w:rPr>
          <w:rFonts w:ascii="Segoe UI" w:eastAsia="Times New Roman" w:hAnsi="Segoe UI" w:cs="Segoe UI"/>
          <w:kern w:val="0"/>
          <w:sz w:val="21"/>
          <w:szCs w:val="21"/>
          <w14:ligatures w14:val="none"/>
        </w:rPr>
        <w:t xml:space="preserve"> </w:t>
      </w:r>
      <w:proofErr w:type="gramStart"/>
      <w:r w:rsidRPr="003204D3">
        <w:rPr>
          <w:rFonts w:ascii="Segoe UI" w:eastAsia="Times New Roman" w:hAnsi="Segoe UI" w:cs="Segoe UI"/>
          <w:kern w:val="0"/>
          <w:sz w:val="21"/>
          <w:szCs w:val="21"/>
          <w14:ligatures w14:val="none"/>
        </w:rPr>
        <w:t>Similar to</w:t>
      </w:r>
      <w:proofErr w:type="gramEnd"/>
      <w:r w:rsidRPr="003204D3">
        <w:rPr>
          <w:rFonts w:ascii="Segoe UI" w:eastAsia="Times New Roman" w:hAnsi="Segoe UI" w:cs="Segoe UI"/>
          <w:kern w:val="0"/>
          <w:sz w:val="21"/>
          <w:szCs w:val="21"/>
          <w14:ligatures w14:val="none"/>
        </w:rPr>
        <w:t xml:space="preserve"> the idea in legal, TR could one day provide a service where businesses outsource part of their tax compliance to TR as a managed service, with TR personnel and AI handling the work on TR systems. This would be a new business model but leverages the transformed capabilities – TR would essentially run the automated workflow for the client. It could start small, e.g., sales tax filings or routine annual returns for mid-size companies, guaranteeing compliance and freeing the client entirely of that function (except final sign-off). With the efficiencies gained through AI, TR might do this profitably and create a new revenue stream. </w:t>
      </w:r>
    </w:p>
    <w:p w14:paraId="50D34FB2" w14:textId="77777777" w:rsidR="003204D3" w:rsidRPr="003204D3" w:rsidRDefault="003204D3" w:rsidP="003204D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Integrate financial and tax data for strategic insights.</w:t>
      </w:r>
      <w:r w:rsidRPr="003204D3">
        <w:rPr>
          <w:rFonts w:ascii="Segoe UI" w:eastAsia="Times New Roman" w:hAnsi="Segoe UI" w:cs="Segoe UI"/>
          <w:kern w:val="0"/>
          <w:sz w:val="21"/>
          <w:szCs w:val="21"/>
          <w14:ligatures w14:val="none"/>
        </w:rPr>
        <w:t xml:space="preserve"> By combining tax data with external financial and economic data, TR could develop predictive analytics that help companies make strategic decisions – for example, forecasting the tax impact of entering a new market or of legislative changes. This kind of forward-looking insight, delivered via dashboards or reports, could elevate TR from a compliance tool provider to a strategic partner in the eyes of CFOs and heads of tax. Achieving this would likely involve enhancing data science capabilities and possibly partnering with firms that have economic modeling expertise, but it could be a differentiator in the long run. </w:t>
      </w:r>
    </w:p>
    <w:p w14:paraId="55A549C3"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Information Gaps &amp; Research Recommendations:</w:t>
      </w:r>
      <w:r w:rsidRPr="003204D3">
        <w:rPr>
          <w:rFonts w:ascii="Segoe UI" w:eastAsia="Times New Roman" w:hAnsi="Segoe UI" w:cs="Segoe UI"/>
          <w:kern w:val="0"/>
          <w:sz w:val="21"/>
          <w:szCs w:val="21"/>
          <w14:ligatures w14:val="none"/>
        </w:rPr>
        <w:t xml:space="preserve"> To effectively pursue these opportunities, some gaps need addressing. TR should gather more </w:t>
      </w:r>
      <w:r w:rsidRPr="003204D3">
        <w:rPr>
          <w:rFonts w:ascii="Segoe UI" w:eastAsia="Times New Roman" w:hAnsi="Segoe UI" w:cs="Segoe UI"/>
          <w:b/>
          <w:bCs/>
          <w:kern w:val="0"/>
          <w:sz w:val="21"/>
          <w:szCs w:val="21"/>
          <w14:ligatures w14:val="none"/>
        </w:rPr>
        <w:t>customer voice specifically from the tax segment</w:t>
      </w:r>
      <w:r w:rsidRPr="003204D3">
        <w:rPr>
          <w:rFonts w:ascii="Segoe UI" w:eastAsia="Times New Roman" w:hAnsi="Segoe UI" w:cs="Segoe UI"/>
          <w:kern w:val="0"/>
          <w:sz w:val="21"/>
          <w:szCs w:val="21"/>
          <w14:ligatures w14:val="none"/>
        </w:rPr>
        <w:t xml:space="preserve">, as it’s often less public than the legal segment. Conducting in-depth interviews or forming a customer advisory board of corporate tax directors and accounting firm partners would help pinpoint what additional functionality or services they crave. Another gap is fully quantifying the </w:t>
      </w:r>
      <w:r w:rsidRPr="003204D3">
        <w:rPr>
          <w:rFonts w:ascii="Segoe UI" w:eastAsia="Times New Roman" w:hAnsi="Segoe UI" w:cs="Segoe UI"/>
          <w:b/>
          <w:bCs/>
          <w:kern w:val="0"/>
          <w:sz w:val="21"/>
          <w:szCs w:val="21"/>
          <w14:ligatures w14:val="none"/>
        </w:rPr>
        <w:t>efficiency gains from recent changes</w:t>
      </w:r>
      <w:r w:rsidRPr="003204D3">
        <w:rPr>
          <w:rFonts w:ascii="Segoe UI" w:eastAsia="Times New Roman" w:hAnsi="Segoe UI" w:cs="Segoe UI"/>
          <w:kern w:val="0"/>
          <w:sz w:val="21"/>
          <w:szCs w:val="21"/>
          <w14:ligatures w14:val="none"/>
        </w:rPr>
        <w:t xml:space="preserve"> – the segment should document, for example, how many hours </w:t>
      </w:r>
      <w:proofErr w:type="spellStart"/>
      <w:r w:rsidRPr="003204D3">
        <w:rPr>
          <w:rFonts w:ascii="Segoe UI" w:eastAsia="Times New Roman" w:hAnsi="Segoe UI" w:cs="Segoe UI"/>
          <w:kern w:val="0"/>
          <w:sz w:val="21"/>
          <w:szCs w:val="21"/>
          <w14:ligatures w14:val="none"/>
        </w:rPr>
        <w:t>SurePrep</w:t>
      </w:r>
      <w:proofErr w:type="spellEnd"/>
      <w:r w:rsidRPr="003204D3">
        <w:rPr>
          <w:rFonts w:ascii="Segoe UI" w:eastAsia="Times New Roman" w:hAnsi="Segoe UI" w:cs="Segoe UI"/>
          <w:kern w:val="0"/>
          <w:sz w:val="21"/>
          <w:szCs w:val="21"/>
          <w14:ligatures w14:val="none"/>
        </w:rPr>
        <w:t xml:space="preserve"> saves on average per return, or how much faster filings are with the new ONESOURCE updates. Hard data on these can guide marketing and further development (if some processes still take long, those become next targets for automation). Also, </w:t>
      </w:r>
      <w:r w:rsidRPr="003204D3">
        <w:rPr>
          <w:rFonts w:ascii="Segoe UI" w:eastAsia="Times New Roman" w:hAnsi="Segoe UI" w:cs="Segoe UI"/>
          <w:b/>
          <w:bCs/>
          <w:kern w:val="0"/>
          <w:sz w:val="21"/>
          <w:szCs w:val="21"/>
          <w14:ligatures w14:val="none"/>
        </w:rPr>
        <w:t>competitor monitoring</w:t>
      </w:r>
      <w:r w:rsidRPr="003204D3">
        <w:rPr>
          <w:rFonts w:ascii="Segoe UI" w:eastAsia="Times New Roman" w:hAnsi="Segoe UI" w:cs="Segoe UI"/>
          <w:kern w:val="0"/>
          <w:sz w:val="21"/>
          <w:szCs w:val="21"/>
          <w14:ligatures w14:val="none"/>
        </w:rPr>
        <w:t xml:space="preserve"> is vital: Wolters Kluwer, for instance, has its CCH </w:t>
      </w:r>
      <w:proofErr w:type="spellStart"/>
      <w:r w:rsidRPr="003204D3">
        <w:rPr>
          <w:rFonts w:ascii="Segoe UI" w:eastAsia="Times New Roman" w:hAnsi="Segoe UI" w:cs="Segoe UI"/>
          <w:kern w:val="0"/>
          <w:sz w:val="21"/>
          <w:szCs w:val="21"/>
          <w14:ligatures w14:val="none"/>
        </w:rPr>
        <w:t>Axcess</w:t>
      </w:r>
      <w:proofErr w:type="spellEnd"/>
      <w:r w:rsidRPr="003204D3">
        <w:rPr>
          <w:rFonts w:ascii="Segoe UI" w:eastAsia="Times New Roman" w:hAnsi="Segoe UI" w:cs="Segoe UI"/>
          <w:kern w:val="0"/>
          <w:sz w:val="21"/>
          <w:szCs w:val="21"/>
          <w14:ligatures w14:val="none"/>
        </w:rPr>
        <w:t xml:space="preserve"> platform with some cloud and AI features; understanding where TR is ahead or behind can direct resource allocation. A recommendation is to perform a feature-by-feature comparison of ONESOURCE/Checkpoint vs. CCH and others, including any AI capabilities, at least yearly. Internally, TR might need to explore if all the data infrastructure is in place to support advanced analytics. Is the tax usage data consolidated </w:t>
      </w:r>
      <w:proofErr w:type="gramStart"/>
      <w:r w:rsidRPr="003204D3">
        <w:rPr>
          <w:rFonts w:ascii="Segoe UI" w:eastAsia="Times New Roman" w:hAnsi="Segoe UI" w:cs="Segoe UI"/>
          <w:kern w:val="0"/>
          <w:sz w:val="21"/>
          <w:szCs w:val="21"/>
          <w14:ligatures w14:val="none"/>
        </w:rPr>
        <w:t>similar to</w:t>
      </w:r>
      <w:proofErr w:type="gramEnd"/>
      <w:r w:rsidRPr="003204D3">
        <w:rPr>
          <w:rFonts w:ascii="Segoe UI" w:eastAsia="Times New Roman" w:hAnsi="Segoe UI" w:cs="Segoe UI"/>
          <w:kern w:val="0"/>
          <w:sz w:val="21"/>
          <w:szCs w:val="21"/>
          <w14:ligatures w14:val="none"/>
        </w:rPr>
        <w:t xml:space="preserve"> legal’s? If not, investing in that (like a unified data lake for tax usage) will support AI and insight generation. Additionally, keep tabs on regulatory changes: perhaps assign a “regulatory intelligence” function that not only updates content but informs product teams early about new compliance requirements or opportunities (like upcoming mandates for e-invoicing or SAF-T digital audits in various countries), so they can </w:t>
      </w:r>
      <w:r w:rsidRPr="003204D3">
        <w:rPr>
          <w:rFonts w:ascii="Segoe UI" w:eastAsia="Times New Roman" w:hAnsi="Segoe UI" w:cs="Segoe UI"/>
          <w:kern w:val="0"/>
          <w:sz w:val="21"/>
          <w:szCs w:val="21"/>
          <w14:ligatures w14:val="none"/>
        </w:rPr>
        <w:lastRenderedPageBreak/>
        <w:t xml:space="preserve">build solutions proactively. Lastly, consider the </w:t>
      </w:r>
      <w:r w:rsidRPr="003204D3">
        <w:rPr>
          <w:rFonts w:ascii="Segoe UI" w:eastAsia="Times New Roman" w:hAnsi="Segoe UI" w:cs="Segoe UI"/>
          <w:b/>
          <w:bCs/>
          <w:kern w:val="0"/>
          <w:sz w:val="21"/>
          <w:szCs w:val="21"/>
          <w14:ligatures w14:val="none"/>
        </w:rPr>
        <w:t>talent and skill gaps</w:t>
      </w:r>
      <w:r w:rsidRPr="003204D3">
        <w:rPr>
          <w:rFonts w:ascii="Segoe UI" w:eastAsia="Times New Roman" w:hAnsi="Segoe UI" w:cs="Segoe UI"/>
          <w:kern w:val="0"/>
          <w:sz w:val="21"/>
          <w:szCs w:val="21"/>
          <w14:ligatures w14:val="none"/>
        </w:rPr>
        <w:t xml:space="preserve"> – implementing these transformations requires tax experts who also understand AI, and vice versa. TR might consider recruiting some ex-Big4 tax tech specialists or upskilling current staff in data science. Research into the current proficiency of teams (maybe an internal skills inventory) could highlight where to train or hire. Bridging these gaps will ensure the Tax &amp; Accounting segment not only continues its transformation but accelerates it, guided by clear insight into customer needs and competitive dynamics. </w:t>
      </w:r>
    </w:p>
    <w:p w14:paraId="410B9F79"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Summary:</w:t>
      </w:r>
      <w:r w:rsidRPr="003204D3">
        <w:rPr>
          <w:rFonts w:ascii="Segoe UI" w:eastAsia="Times New Roman" w:hAnsi="Segoe UI" w:cs="Segoe UI"/>
          <w:kern w:val="0"/>
          <w:sz w:val="21"/>
          <w:szCs w:val="21"/>
          <w14:ligatures w14:val="none"/>
        </w:rPr>
        <w:t xml:space="preserve"> The Tax &amp; Accounting segment is firmly on the transformation track, turning what once were manual, disjointed processes into streamlined, technology-driven workflows. It benefits from Thomson Reuters’ foresight in investing in automation (like OCR/AI for tax prep) and its strong content foundation (comprehensive tax law libraries). The segment’s journey shows a pivot from being just a provider of information and software to becoming a partner in efficiency and compliance for tax professionals. While not as far along as the legal segment in some respects, it has picked up momentum – shedding legacy baggage, embracing cloud delivery, and injecting AI where it makes the most difference. With continued focus and the closing of identified gaps (particularly around unifying user experience and expanding intelligent capabilities), the Tax &amp; Accounting segment is poised to greatly enhance its value proposition. This will not only drive growth for </w:t>
      </w:r>
      <w:proofErr w:type="gramStart"/>
      <w:r w:rsidRPr="003204D3">
        <w:rPr>
          <w:rFonts w:ascii="Segoe UI" w:eastAsia="Times New Roman" w:hAnsi="Segoe UI" w:cs="Segoe UI"/>
          <w:kern w:val="0"/>
          <w:sz w:val="21"/>
          <w:szCs w:val="21"/>
          <w14:ligatures w14:val="none"/>
        </w:rPr>
        <w:t>Thomson Reuters, but</w:t>
      </w:r>
      <w:proofErr w:type="gramEnd"/>
      <w:r w:rsidRPr="003204D3">
        <w:rPr>
          <w:rFonts w:ascii="Segoe UI" w:eastAsia="Times New Roman" w:hAnsi="Segoe UI" w:cs="Segoe UI"/>
          <w:kern w:val="0"/>
          <w:sz w:val="21"/>
          <w:szCs w:val="21"/>
          <w14:ligatures w14:val="none"/>
        </w:rPr>
        <w:t xml:space="preserve"> also help its clients navigate the increasingly complex tax world with confidence and agility, fulfilling the end-to-end reimagination promise in a domain that historically thrives on precision and timeliness. </w:t>
      </w:r>
    </w:p>
    <w:p w14:paraId="75F1B26E" w14:textId="77777777" w:rsidR="003204D3" w:rsidRPr="003204D3" w:rsidRDefault="00AF5BFA" w:rsidP="003204D3">
      <w:pPr>
        <w:spacing w:after="0" w:line="300" w:lineRule="atLeast"/>
        <w:rPr>
          <w:rFonts w:ascii="Segoe UI" w:eastAsia="Times New Roman" w:hAnsi="Segoe UI" w:cs="Segoe UI"/>
          <w:kern w:val="0"/>
          <w:sz w:val="21"/>
          <w:szCs w:val="21"/>
          <w14:ligatures w14:val="none"/>
        </w:rPr>
      </w:pPr>
      <w:r>
        <w:rPr>
          <w:noProof/>
        </w:rPr>
      </w:r>
      <w:r w:rsidR="00AF5BFA">
        <w:rPr>
          <w:noProof/>
        </w:rPr>
        <w:pict w14:anchorId="51B807C2">
          <v:rect id="Horizontal Line 34" o:spid="_x0000_s1032"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571F1E" w14:textId="77777777" w:rsidR="003204D3" w:rsidRPr="003204D3" w:rsidRDefault="003204D3" w:rsidP="003204D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204D3">
        <w:rPr>
          <w:rFonts w:ascii="Segoe UI" w:eastAsia="Times New Roman" w:hAnsi="Segoe UI" w:cs="Segoe UI"/>
          <w:b/>
          <w:bCs/>
          <w:kern w:val="0"/>
          <w:sz w:val="36"/>
          <w:szCs w:val="36"/>
          <w14:ligatures w14:val="none"/>
        </w:rPr>
        <w:t>BUSINESS SEGMENT TRANSFORMATION INTELLIGENCE (CORPORATES)</w:t>
      </w:r>
    </w:p>
    <w:p w14:paraId="2D51B72A"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Assessment:</w:t>
      </w:r>
      <w:r w:rsidRPr="003204D3">
        <w:rPr>
          <w:rFonts w:ascii="Segoe UI" w:eastAsia="Times New Roman" w:hAnsi="Segoe UI" w:cs="Segoe UI"/>
          <w:kern w:val="0"/>
          <w:sz w:val="21"/>
          <w:szCs w:val="21"/>
          <w14:ligatures w14:val="none"/>
        </w:rPr>
        <w:t xml:space="preserve"> The Corporates segment – serving corporate legal, compliance, and risk professionals – has embraced a more integrated and customer-centric approach, leveraging Thomson Reuters’ broad portfolio to deliver holistic solutions. Its transformation readiness is solid, though still with room to expand its product synergies (Rating: </w:t>
      </w:r>
      <w:r w:rsidRPr="003204D3">
        <w:rPr>
          <w:rFonts w:ascii="Segoe UI" w:eastAsia="Times New Roman" w:hAnsi="Segoe UI" w:cs="Segoe UI"/>
          <w:b/>
          <w:bCs/>
          <w:kern w:val="0"/>
          <w:sz w:val="21"/>
          <w:szCs w:val="21"/>
          <w14:ligatures w14:val="none"/>
        </w:rPr>
        <w:t>4/5</w:t>
      </w:r>
      <w:r w:rsidRPr="003204D3">
        <w:rPr>
          <w:rFonts w:ascii="Segoe UI" w:eastAsia="Times New Roman" w:hAnsi="Segoe UI" w:cs="Segoe UI"/>
          <w:kern w:val="0"/>
          <w:sz w:val="21"/>
          <w:szCs w:val="21"/>
          <w14:ligatures w14:val="none"/>
        </w:rPr>
        <w:t xml:space="preserve">). Post-Change Program, the segment was reoriented to break down the silos between legal, tax, and risk products for corporate clients, reflecting the way corporate departments increasingly collaborate. The creation of bundled offerings (e.g., combining legal workflow, contract management, and compliance training tools for general counsel offices) shows a high responsiveness to customer needs. Strategic acquisitions and partnerships (such as those bringing contract analysis and regulatory intelligence tools) have filled capability gaps. The segment’s revenue is largely recurring and has been growing, indicating market acceptance of its evolving value proposition. To reach full maturity, Corporates must continue integrating its diverse tools into seamless platforms and ensure that the user experience feels unified across the suite. Nonetheless, the current state – with strong leadership focus, an expanding feature set, and cross-functional product teams – points to a high degree of readiness to push the transformation further. </w:t>
      </w:r>
    </w:p>
    <w:p w14:paraId="32EC8400"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Key Internal Findings:</w:t>
      </w:r>
      <w:r w:rsidRPr="003204D3">
        <w:rPr>
          <w:rFonts w:ascii="Segoe UI" w:eastAsia="Times New Roman" w:hAnsi="Segoe UI" w:cs="Segoe UI"/>
          <w:kern w:val="0"/>
          <w:sz w:val="21"/>
          <w:szCs w:val="21"/>
          <w14:ligatures w14:val="none"/>
        </w:rPr>
        <w:t xml:space="preserve"> One key finding was that corporate clients, often the in-house departments of companies, </w:t>
      </w:r>
      <w:r w:rsidRPr="003204D3">
        <w:rPr>
          <w:rFonts w:ascii="Segoe UI" w:eastAsia="Times New Roman" w:hAnsi="Segoe UI" w:cs="Segoe UI"/>
          <w:b/>
          <w:bCs/>
          <w:kern w:val="0"/>
          <w:sz w:val="21"/>
          <w:szCs w:val="21"/>
          <w14:ligatures w14:val="none"/>
        </w:rPr>
        <w:t>prefer one strategic partner for multiple needs</w:t>
      </w:r>
      <w:r w:rsidRPr="003204D3">
        <w:rPr>
          <w:rFonts w:ascii="Segoe UI" w:eastAsia="Times New Roman" w:hAnsi="Segoe UI" w:cs="Segoe UI"/>
          <w:kern w:val="0"/>
          <w:sz w:val="21"/>
          <w:szCs w:val="21"/>
          <w14:ligatures w14:val="none"/>
        </w:rPr>
        <w:t xml:space="preserve"> rather than juggling many point solutions. Historically, a corporate legal department might use Thomson Reuters for legal research (Westlaw) but a different vendor for contract management, and yet another for compliance training. The transformation initiative identified this as an opportunity: many of these functions are adjacent and could be served via an integrated suite. As a result, Thomson Reuters packaged offerings like the “</w:t>
      </w:r>
      <w:r w:rsidRPr="003204D3">
        <w:rPr>
          <w:rFonts w:ascii="Segoe UI" w:eastAsia="Times New Roman" w:hAnsi="Segoe UI" w:cs="Segoe UI"/>
          <w:b/>
          <w:bCs/>
          <w:kern w:val="0"/>
          <w:sz w:val="21"/>
          <w:szCs w:val="21"/>
          <w14:ligatures w14:val="none"/>
        </w:rPr>
        <w:t>Legal Department Toolkit</w:t>
      </w:r>
      <w:r w:rsidRPr="003204D3">
        <w:rPr>
          <w:rFonts w:ascii="Segoe UI" w:eastAsia="Times New Roman" w:hAnsi="Segoe UI" w:cs="Segoe UI"/>
          <w:kern w:val="0"/>
          <w:sz w:val="21"/>
          <w:szCs w:val="21"/>
          <w14:ligatures w14:val="none"/>
        </w:rPr>
        <w:t xml:space="preserve">” which could include Legal Tracker (for matter management), HighQ (for collaboration and contract lifecycle), Practical Law (for templates and checklists), and Compliance Learning modules, all under one contract. Internally, forming cross-product teams was necessary to make this work – product managers from what used to be separate units now coordinate roadmaps so that, for example, an update in HighQ (e.g., new contract automation capability) complements developments in Legal Tracker. Another finding was the importance of </w:t>
      </w:r>
      <w:r w:rsidRPr="003204D3">
        <w:rPr>
          <w:rFonts w:ascii="Segoe UI" w:eastAsia="Times New Roman" w:hAnsi="Segoe UI" w:cs="Segoe UI"/>
          <w:b/>
          <w:bCs/>
          <w:kern w:val="0"/>
          <w:sz w:val="21"/>
          <w:szCs w:val="21"/>
          <w14:ligatures w14:val="none"/>
        </w:rPr>
        <w:t>data integration</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kern w:val="0"/>
          <w:sz w:val="21"/>
          <w:szCs w:val="21"/>
          <w14:ligatures w14:val="none"/>
        </w:rPr>
        <w:lastRenderedPageBreak/>
        <w:t xml:space="preserve">corporate clients wanted a unified view of their information. In response, TR worked on linking systems so that data can flow or be aggregated. For instance, if a corporation uses both Legal Tracker and Westlaw, TR enabled single sign-on and cross-navigation, and in some cases is piloting dashboards that pull metrics from multiple TR tools (like legal spend from Tracker alongside compliance risk scores from an audit tool) to provide higher-level insights to General Counsel or Chief Compliance Officers. The segment also realized that </w:t>
      </w:r>
      <w:r w:rsidRPr="003204D3">
        <w:rPr>
          <w:rFonts w:ascii="Segoe UI" w:eastAsia="Times New Roman" w:hAnsi="Segoe UI" w:cs="Segoe UI"/>
          <w:b/>
          <w:bCs/>
          <w:kern w:val="0"/>
          <w:sz w:val="21"/>
          <w:szCs w:val="21"/>
          <w14:ligatures w14:val="none"/>
        </w:rPr>
        <w:t>speed and agility in addressing new compliance areas</w:t>
      </w:r>
      <w:r w:rsidRPr="003204D3">
        <w:rPr>
          <w:rFonts w:ascii="Segoe UI" w:eastAsia="Times New Roman" w:hAnsi="Segoe UI" w:cs="Segoe UI"/>
          <w:kern w:val="0"/>
          <w:sz w:val="21"/>
          <w:szCs w:val="21"/>
          <w14:ligatures w14:val="none"/>
        </w:rPr>
        <w:t xml:space="preserve"> are crucial. When new regulatory requirements emerge (say ESG reporting or data privacy laws), corporate customers look for guidance and tools quickly. Thomson Reuters has thus set up rapid response teams in the </w:t>
      </w:r>
      <w:proofErr w:type="gramStart"/>
      <w:r w:rsidRPr="003204D3">
        <w:rPr>
          <w:rFonts w:ascii="Segoe UI" w:eastAsia="Times New Roman" w:hAnsi="Segoe UI" w:cs="Segoe UI"/>
          <w:kern w:val="0"/>
          <w:sz w:val="21"/>
          <w:szCs w:val="21"/>
          <w14:ligatures w14:val="none"/>
        </w:rPr>
        <w:t>Corporates</w:t>
      </w:r>
      <w:proofErr w:type="gramEnd"/>
      <w:r w:rsidRPr="003204D3">
        <w:rPr>
          <w:rFonts w:ascii="Segoe UI" w:eastAsia="Times New Roman" w:hAnsi="Segoe UI" w:cs="Segoe UI"/>
          <w:kern w:val="0"/>
          <w:sz w:val="21"/>
          <w:szCs w:val="21"/>
          <w14:ligatures w14:val="none"/>
        </w:rPr>
        <w:t xml:space="preserve"> segment to create content and software updates. A notable example was the quick rollout of training and policy templates when new global data privacy regulations came into effect; TR’s compliance learning team produced a module within weeks, which could be deployed via the TR platform to all employees of a corporate client, demonstrating agility. The segment’s integration into the single Operations &amp; Tech backbone helped here – they could leverage centralized tech capabilities (like TR’s learning management infrastructure or analytics from the data lake) without reinventing the wheel for each product. One more internal insight: </w:t>
      </w:r>
      <w:r w:rsidRPr="003204D3">
        <w:rPr>
          <w:rFonts w:ascii="Segoe UI" w:eastAsia="Times New Roman" w:hAnsi="Segoe UI" w:cs="Segoe UI"/>
          <w:b/>
          <w:bCs/>
          <w:kern w:val="0"/>
          <w:sz w:val="21"/>
          <w:szCs w:val="21"/>
          <w14:ligatures w14:val="none"/>
        </w:rPr>
        <w:t>user experience needed to be harmonized.</w:t>
      </w:r>
      <w:r w:rsidRPr="003204D3">
        <w:rPr>
          <w:rFonts w:ascii="Segoe UI" w:eastAsia="Times New Roman" w:hAnsi="Segoe UI" w:cs="Segoe UI"/>
          <w:kern w:val="0"/>
          <w:sz w:val="21"/>
          <w:szCs w:val="21"/>
          <w14:ligatures w14:val="none"/>
        </w:rPr>
        <w:t xml:space="preserve"> Customer feedback indicated that some TR corporate tools felt disparate in UI and usability. In response, a </w:t>
      </w:r>
      <w:r w:rsidRPr="003204D3">
        <w:rPr>
          <w:rFonts w:ascii="Segoe UI" w:eastAsia="Times New Roman" w:hAnsi="Segoe UI" w:cs="Segoe UI"/>
          <w:b/>
          <w:bCs/>
          <w:kern w:val="0"/>
          <w:sz w:val="21"/>
          <w:szCs w:val="21"/>
          <w14:ligatures w14:val="none"/>
        </w:rPr>
        <w:t>“One UI”</w:t>
      </w:r>
      <w:r w:rsidRPr="003204D3">
        <w:rPr>
          <w:rFonts w:ascii="Segoe UI" w:eastAsia="Times New Roman" w:hAnsi="Segoe UI" w:cs="Segoe UI"/>
          <w:kern w:val="0"/>
          <w:sz w:val="21"/>
          <w:szCs w:val="21"/>
          <w14:ligatures w14:val="none"/>
        </w:rPr>
        <w:t xml:space="preserve"> project was initiated to gradually standardize the look and feel across products, using common design systems. Progress is being made (e.g., Legal Tracker’s interface was refreshed to align more with HighQ’s modern, web-based feel, and both will align to a unified TR design language). While not complete, this effort acknowledges that transformation is not just adding </w:t>
      </w:r>
      <w:proofErr w:type="gramStart"/>
      <w:r w:rsidRPr="003204D3">
        <w:rPr>
          <w:rFonts w:ascii="Segoe UI" w:eastAsia="Times New Roman" w:hAnsi="Segoe UI" w:cs="Segoe UI"/>
          <w:kern w:val="0"/>
          <w:sz w:val="21"/>
          <w:szCs w:val="21"/>
          <w14:ligatures w14:val="none"/>
        </w:rPr>
        <w:t>features, but</w:t>
      </w:r>
      <w:proofErr w:type="gramEnd"/>
      <w:r w:rsidRPr="003204D3">
        <w:rPr>
          <w:rFonts w:ascii="Segoe UI" w:eastAsia="Times New Roman" w:hAnsi="Segoe UI" w:cs="Segoe UI"/>
          <w:kern w:val="0"/>
          <w:sz w:val="21"/>
          <w:szCs w:val="21"/>
          <w14:ligatures w14:val="none"/>
        </w:rPr>
        <w:t xml:space="preserve"> also making sure the offerings feel like parts of a whole. </w:t>
      </w:r>
    </w:p>
    <w:p w14:paraId="3690C141"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AI Integration Context:</w:t>
      </w:r>
      <w:r w:rsidRPr="003204D3">
        <w:rPr>
          <w:rFonts w:ascii="Segoe UI" w:eastAsia="Times New Roman" w:hAnsi="Segoe UI" w:cs="Segoe UI"/>
          <w:kern w:val="0"/>
          <w:sz w:val="21"/>
          <w:szCs w:val="21"/>
          <w14:ligatures w14:val="none"/>
        </w:rPr>
        <w:t xml:space="preserve"> The Corporates segment uses AI to address the multifaceted challenges that businesses face in managing legal and compliance tasks at scale. One major application is in </w:t>
      </w:r>
      <w:r w:rsidRPr="003204D3">
        <w:rPr>
          <w:rFonts w:ascii="Segoe UI" w:eastAsia="Times New Roman" w:hAnsi="Segoe UI" w:cs="Segoe UI"/>
          <w:b/>
          <w:bCs/>
          <w:kern w:val="0"/>
          <w:sz w:val="21"/>
          <w:szCs w:val="21"/>
          <w14:ligatures w14:val="none"/>
        </w:rPr>
        <w:t>contract management and analysis</w:t>
      </w:r>
      <w:r w:rsidRPr="003204D3">
        <w:rPr>
          <w:rFonts w:ascii="Segoe UI" w:eastAsia="Times New Roman" w:hAnsi="Segoe UI" w:cs="Segoe UI"/>
          <w:kern w:val="0"/>
          <w:sz w:val="21"/>
          <w:szCs w:val="21"/>
          <w14:ligatures w14:val="none"/>
        </w:rPr>
        <w:t xml:space="preserve">. With the acquisition of </w:t>
      </w:r>
      <w:proofErr w:type="spellStart"/>
      <w:r w:rsidRPr="003204D3">
        <w:rPr>
          <w:rFonts w:ascii="Segoe UI" w:eastAsia="Times New Roman" w:hAnsi="Segoe UI" w:cs="Segoe UI"/>
          <w:kern w:val="0"/>
          <w:sz w:val="21"/>
          <w:szCs w:val="21"/>
          <w14:ligatures w14:val="none"/>
        </w:rPr>
        <w:t>ThoughtTrace</w:t>
      </w:r>
      <w:proofErr w:type="spellEnd"/>
      <w:r w:rsidRPr="003204D3">
        <w:rPr>
          <w:rFonts w:ascii="Segoe UI" w:eastAsia="Times New Roman" w:hAnsi="Segoe UI" w:cs="Segoe UI"/>
          <w:kern w:val="0"/>
          <w:sz w:val="21"/>
          <w:szCs w:val="21"/>
          <w14:ligatures w14:val="none"/>
        </w:rPr>
        <w:t xml:space="preserve"> in 2022 and integration of its AI models,</w:t>
      </w:r>
      <w:hyperlink r:id="rId173"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the segment can now offer AI-assisted contract review within HighQ or standalone. This means an in-house counsel can upload a stack of contracts and have the system extract key clauses (e.g., termination dates, indemnity clauses) or even flag risky terms. Such capability greatly accelerates due diligence or internal audits of contracts. Another AI use case is within </w:t>
      </w:r>
      <w:r w:rsidRPr="003204D3">
        <w:rPr>
          <w:rFonts w:ascii="Segoe UI" w:eastAsia="Times New Roman" w:hAnsi="Segoe UI" w:cs="Segoe UI"/>
          <w:b/>
          <w:bCs/>
          <w:kern w:val="0"/>
          <w:sz w:val="21"/>
          <w:szCs w:val="21"/>
          <w14:ligatures w14:val="none"/>
        </w:rPr>
        <w:t>Legal Tracker</w:t>
      </w:r>
      <w:r w:rsidRPr="003204D3">
        <w:rPr>
          <w:rFonts w:ascii="Segoe UI" w:eastAsia="Times New Roman" w:hAnsi="Segoe UI" w:cs="Segoe UI"/>
          <w:kern w:val="0"/>
          <w:sz w:val="21"/>
          <w:szCs w:val="21"/>
          <w14:ligatures w14:val="none"/>
        </w:rPr>
        <w:t>: as mentioned earlier, it has an AI feature to scrutinize law firm invoices – by learning billing patterns, it can detect anomalies (like charges that deviate from guidelines or unusual spikes in hours) and suggest them for review</w:t>
      </w:r>
      <w:hyperlink r:id="rId174" w:history="1">
        <w:r w:rsidRPr="003204D3">
          <w:rPr>
            <w:rFonts w:ascii="Segoe UI" w:eastAsia="Times New Roman" w:hAnsi="Segoe UI" w:cs="Segoe UI"/>
            <w:color w:val="464FEB"/>
            <w:kern w:val="0"/>
            <w:sz w:val="21"/>
            <w:szCs w:val="21"/>
            <w14:ligatures w14:val="none"/>
          </w:rPr>
          <w:t>[1]</w:t>
        </w:r>
      </w:hyperlink>
      <w:r w:rsidRPr="003204D3">
        <w:rPr>
          <w:rFonts w:ascii="Segoe UI" w:eastAsia="Times New Roman" w:hAnsi="Segoe UI" w:cs="Segoe UI"/>
          <w:kern w:val="0"/>
          <w:sz w:val="21"/>
          <w:szCs w:val="21"/>
          <w14:ligatures w14:val="none"/>
        </w:rPr>
        <w:t xml:space="preserve">. This helps corporate legal ops control legal spend more effectively. Corporates also </w:t>
      </w:r>
      <w:proofErr w:type="gramStart"/>
      <w:r w:rsidRPr="003204D3">
        <w:rPr>
          <w:rFonts w:ascii="Segoe UI" w:eastAsia="Times New Roman" w:hAnsi="Segoe UI" w:cs="Segoe UI"/>
          <w:kern w:val="0"/>
          <w:sz w:val="21"/>
          <w:szCs w:val="21"/>
          <w14:ligatures w14:val="none"/>
        </w:rPr>
        <w:t>encompasses</w:t>
      </w:r>
      <w:proofErr w:type="gramEnd"/>
      <w:r w:rsidRPr="003204D3">
        <w:rPr>
          <w:rFonts w:ascii="Segoe UI" w:eastAsia="Times New Roman" w:hAnsi="Segoe UI" w:cs="Segoe UI"/>
          <w:kern w:val="0"/>
          <w:sz w:val="21"/>
          <w:szCs w:val="21"/>
          <w14:ligatures w14:val="none"/>
        </w:rPr>
        <w:t xml:space="preserve"> compliance solutions; here, AI is deployed in things like </w:t>
      </w:r>
      <w:r w:rsidRPr="003204D3">
        <w:rPr>
          <w:rFonts w:ascii="Segoe UI" w:eastAsia="Times New Roman" w:hAnsi="Segoe UI" w:cs="Segoe UI"/>
          <w:b/>
          <w:bCs/>
          <w:kern w:val="0"/>
          <w:sz w:val="21"/>
          <w:szCs w:val="21"/>
          <w14:ligatures w14:val="none"/>
        </w:rPr>
        <w:t>training personalization</w:t>
      </w:r>
      <w:r w:rsidRPr="003204D3">
        <w:rPr>
          <w:rFonts w:ascii="Segoe UI" w:eastAsia="Times New Roman" w:hAnsi="Segoe UI" w:cs="Segoe UI"/>
          <w:kern w:val="0"/>
          <w:sz w:val="21"/>
          <w:szCs w:val="21"/>
          <w14:ligatures w14:val="none"/>
        </w:rPr>
        <w:t xml:space="preserve"> – for instance, TR’s compliance learning platform could use analytics to identify which employees might need extra training (perhaps based on quiz performance or risk profile) and adjust their learning path accordingly. Additionally, Thomson Reuters is exploring AI </w:t>
      </w:r>
      <w:proofErr w:type="gramStart"/>
      <w:r w:rsidRPr="003204D3">
        <w:rPr>
          <w:rFonts w:ascii="Segoe UI" w:eastAsia="Times New Roman" w:hAnsi="Segoe UI" w:cs="Segoe UI"/>
          <w:kern w:val="0"/>
          <w:sz w:val="21"/>
          <w:szCs w:val="21"/>
          <w14:ligatures w14:val="none"/>
        </w:rPr>
        <w:t>in the area of</w:t>
      </w:r>
      <w:proofErr w:type="gramEnd"/>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regulatory tracking</w:t>
      </w:r>
      <w:r w:rsidRPr="003204D3">
        <w:rPr>
          <w:rFonts w:ascii="Segoe UI" w:eastAsia="Times New Roman" w:hAnsi="Segoe UI" w:cs="Segoe UI"/>
          <w:kern w:val="0"/>
          <w:sz w:val="21"/>
          <w:szCs w:val="21"/>
          <w14:ligatures w14:val="none"/>
        </w:rPr>
        <w:t xml:space="preserve">: for a corporate compliance officer, keeping up with regulatory changes across jurisdictions is daunting. AI tools are being tested to automatically monitor multiple regulatory websites and news sources, summarize changes, and even map them to a company’s policies that are stored in TR systems. Such a tool could notify a client, “New law X was passed, affecting your policy Y” – a powerful feature for staying ahead. Moreover, the segment is tapping AI for </w:t>
      </w:r>
      <w:r w:rsidRPr="003204D3">
        <w:rPr>
          <w:rFonts w:ascii="Segoe UI" w:eastAsia="Times New Roman" w:hAnsi="Segoe UI" w:cs="Segoe UI"/>
          <w:b/>
          <w:bCs/>
          <w:kern w:val="0"/>
          <w:sz w:val="21"/>
          <w:szCs w:val="21"/>
          <w14:ligatures w14:val="none"/>
        </w:rPr>
        <w:t>knowledge management</w:t>
      </w:r>
      <w:r w:rsidRPr="003204D3">
        <w:rPr>
          <w:rFonts w:ascii="Segoe UI" w:eastAsia="Times New Roman" w:hAnsi="Segoe UI" w:cs="Segoe UI"/>
          <w:kern w:val="0"/>
          <w:sz w:val="21"/>
          <w:szCs w:val="21"/>
          <w14:ligatures w14:val="none"/>
        </w:rPr>
        <w:t xml:space="preserve">: many corporates accumulate a lot of internal legal memos and guidance. TR’s tools, through partnerships perhaps with Microsoft or others, can apply NLP to a company’s internal documents (with permission) to make that knowledge searchable and analyzable, </w:t>
      </w:r>
      <w:proofErr w:type="gramStart"/>
      <w:r w:rsidRPr="003204D3">
        <w:rPr>
          <w:rFonts w:ascii="Segoe UI" w:eastAsia="Times New Roman" w:hAnsi="Segoe UI" w:cs="Segoe UI"/>
          <w:kern w:val="0"/>
          <w:sz w:val="21"/>
          <w:szCs w:val="21"/>
          <w14:ligatures w14:val="none"/>
        </w:rPr>
        <w:t>similar to</w:t>
      </w:r>
      <w:proofErr w:type="gramEnd"/>
      <w:r w:rsidRPr="003204D3">
        <w:rPr>
          <w:rFonts w:ascii="Segoe UI" w:eastAsia="Times New Roman" w:hAnsi="Segoe UI" w:cs="Segoe UI"/>
          <w:kern w:val="0"/>
          <w:sz w:val="21"/>
          <w:szCs w:val="21"/>
          <w14:ligatures w14:val="none"/>
        </w:rPr>
        <w:t xml:space="preserve"> how AI queries Westlaw – effectively turning internal data into a </w:t>
      </w:r>
      <w:proofErr w:type="gramStart"/>
      <w:r w:rsidRPr="003204D3">
        <w:rPr>
          <w:rFonts w:ascii="Segoe UI" w:eastAsia="Times New Roman" w:hAnsi="Segoe UI" w:cs="Segoe UI"/>
          <w:kern w:val="0"/>
          <w:sz w:val="21"/>
          <w:szCs w:val="21"/>
          <w14:ligatures w14:val="none"/>
        </w:rPr>
        <w:t>mini Westlaw</w:t>
      </w:r>
      <w:proofErr w:type="gramEnd"/>
      <w:r w:rsidRPr="003204D3">
        <w:rPr>
          <w:rFonts w:ascii="Segoe UI" w:eastAsia="Times New Roman" w:hAnsi="Segoe UI" w:cs="Segoe UI"/>
          <w:kern w:val="0"/>
          <w:sz w:val="21"/>
          <w:szCs w:val="21"/>
          <w14:ligatures w14:val="none"/>
        </w:rPr>
        <w:t xml:space="preserve"> for the company. Another context of AI integration: Thomson Reuters content (like Practical Law or Reuters News) can be fed into corporate systems via APIs, and some corporates use AI to combine that with internal data for risk analysis. TR supports this by offering its content in machine-readable forms and working with enterprise AI platforms (the mention of a collaboration with </w:t>
      </w:r>
      <w:r w:rsidRPr="003204D3">
        <w:rPr>
          <w:rFonts w:ascii="Segoe UI" w:eastAsia="Times New Roman" w:hAnsi="Segoe UI" w:cs="Segoe UI"/>
          <w:b/>
          <w:bCs/>
          <w:kern w:val="0"/>
          <w:sz w:val="21"/>
          <w:szCs w:val="21"/>
          <w14:ligatures w14:val="none"/>
        </w:rPr>
        <w:t>Microsoft 365 Copilot</w:t>
      </w:r>
      <w:r w:rsidRPr="003204D3">
        <w:rPr>
          <w:rFonts w:ascii="Segoe UI" w:eastAsia="Times New Roman" w:hAnsi="Segoe UI" w:cs="Segoe UI"/>
          <w:kern w:val="0"/>
          <w:sz w:val="21"/>
          <w:szCs w:val="21"/>
          <w14:ligatures w14:val="none"/>
        </w:rPr>
        <w:t xml:space="preserve"> indicates that TR is ensuring its content and AI solutions play well in common corporate environments)</w:t>
      </w:r>
      <w:hyperlink r:id="rId175" w:history="1">
        <w:r w:rsidRPr="003204D3">
          <w:rPr>
            <w:rFonts w:ascii="Segoe UI" w:eastAsia="Times New Roman" w:hAnsi="Segoe UI" w:cs="Segoe UI"/>
            <w:color w:val="464FEB"/>
            <w:kern w:val="0"/>
            <w:sz w:val="21"/>
            <w:szCs w:val="21"/>
            <w14:ligatures w14:val="none"/>
          </w:rPr>
          <w:t>[6]</w:t>
        </w:r>
      </w:hyperlink>
      <w:r w:rsidRPr="003204D3">
        <w:rPr>
          <w:rFonts w:ascii="Segoe UI" w:eastAsia="Times New Roman" w:hAnsi="Segoe UI" w:cs="Segoe UI"/>
          <w:kern w:val="0"/>
          <w:sz w:val="21"/>
          <w:szCs w:val="21"/>
          <w14:ligatures w14:val="none"/>
        </w:rPr>
        <w:t xml:space="preserve">. A concrete example: Microsoft 365 Copilot users in a company can potentially query Thomson Reuters legal content directly while drafting in Word, since TR has partnered to integrate its legal knowledge – this is AI bridging TR’s data with a customer’s workflow. In summary, AI in the corporates segment is about making the in-house legal and compliance function smarter and more proactive – from cutting through contract clutter to pre-empting risk – while always ensuring that the AI’s outputs are transparent and anchored in TR’s trusted content. </w:t>
      </w:r>
    </w:p>
    <w:p w14:paraId="6A529880"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lastRenderedPageBreak/>
        <w:t>Supporting Internal Evidence:</w:t>
      </w:r>
      <w:r w:rsidRPr="003204D3">
        <w:rPr>
          <w:rFonts w:ascii="Segoe UI" w:eastAsia="Times New Roman" w:hAnsi="Segoe UI" w:cs="Segoe UI"/>
          <w:kern w:val="0"/>
          <w:sz w:val="21"/>
          <w:szCs w:val="21"/>
          <w14:ligatures w14:val="none"/>
        </w:rPr>
        <w:t xml:space="preserve"> Evidence for the transformation in Corporates comes from product developments and client outcomes. A highlight is the </w:t>
      </w:r>
      <w:r w:rsidRPr="003204D3">
        <w:rPr>
          <w:rFonts w:ascii="Segoe UI" w:eastAsia="Times New Roman" w:hAnsi="Segoe UI" w:cs="Segoe UI"/>
          <w:b/>
          <w:bCs/>
          <w:kern w:val="0"/>
          <w:sz w:val="21"/>
          <w:szCs w:val="21"/>
          <w14:ligatures w14:val="none"/>
        </w:rPr>
        <w:t>integration of HighQ</w:t>
      </w:r>
      <w:r w:rsidRPr="003204D3">
        <w:rPr>
          <w:rFonts w:ascii="Segoe UI" w:eastAsia="Times New Roman" w:hAnsi="Segoe UI" w:cs="Segoe UI"/>
          <w:kern w:val="0"/>
          <w:sz w:val="21"/>
          <w:szCs w:val="21"/>
          <w14:ligatures w14:val="none"/>
        </w:rPr>
        <w:t xml:space="preserve"> with other TR products post-acquisition. Internal product updates note that many corporate legal departments started adopting HighQ not just as a collaboration tool, but as a </w:t>
      </w:r>
      <w:r w:rsidRPr="003204D3">
        <w:rPr>
          <w:rFonts w:ascii="Segoe UI" w:eastAsia="Times New Roman" w:hAnsi="Segoe UI" w:cs="Segoe UI"/>
          <w:b/>
          <w:bCs/>
          <w:kern w:val="0"/>
          <w:sz w:val="21"/>
          <w:szCs w:val="21"/>
          <w14:ligatures w14:val="none"/>
        </w:rPr>
        <w:t>one-stop shop for legal project management</w:t>
      </w:r>
      <w:r w:rsidRPr="003204D3">
        <w:rPr>
          <w:rFonts w:ascii="Segoe UI" w:eastAsia="Times New Roman" w:hAnsi="Segoe UI" w:cs="Segoe UI"/>
          <w:kern w:val="0"/>
          <w:sz w:val="21"/>
          <w:szCs w:val="21"/>
          <w14:ligatures w14:val="none"/>
        </w:rPr>
        <w:t xml:space="preserve"> once TR integrated template libraries from Practical Law into it. For instance, an in-house team working on an employment issue could find a relevant Practical Law checklist within their HighQ workspace, rather than searching separately. Another evidence point is the growth of multi-product deals: sales data from 2022–2023 showed an uptick in corporate customers buying suites instead of single products, which the sales teams attributed to bundled offerings created by the transformed segment strategy. The annual report or earnings calls often mention that </w:t>
      </w:r>
      <w:r w:rsidRPr="003204D3">
        <w:rPr>
          <w:rFonts w:ascii="Segoe UI" w:eastAsia="Times New Roman" w:hAnsi="Segoe UI" w:cs="Segoe UI"/>
          <w:b/>
          <w:bCs/>
          <w:kern w:val="0"/>
          <w:sz w:val="21"/>
          <w:szCs w:val="21"/>
          <w14:ligatures w14:val="none"/>
        </w:rPr>
        <w:t>corporates segment had strong sales of combined solutions</w:t>
      </w:r>
      <w:r w:rsidRPr="003204D3">
        <w:rPr>
          <w:rFonts w:ascii="Segoe UI" w:eastAsia="Times New Roman" w:hAnsi="Segoe UI" w:cs="Segoe UI"/>
          <w:kern w:val="0"/>
          <w:sz w:val="21"/>
          <w:szCs w:val="21"/>
          <w14:ligatures w14:val="none"/>
        </w:rPr>
        <w:t xml:space="preserve">, citing that cross-selling contributed to growth. This aligns with internal goals to increase the number of products per customer. There’s also client testimonial evidence: For example, a general counsel of a mid-sized company might have spoken at a TR event about how using TR’s integrated suite (Legal Tracker + HighQ + Practical Law) allowed them to reduce reliance on outside counsel by handling more work in-house with improved efficiency – such stories are used in TR marketing materials because they underline the value of integration. On the AI side, a pilot case study emerged where a corporation used the contract analysis AI (via </w:t>
      </w:r>
      <w:proofErr w:type="spellStart"/>
      <w:r w:rsidRPr="003204D3">
        <w:rPr>
          <w:rFonts w:ascii="Segoe UI" w:eastAsia="Times New Roman" w:hAnsi="Segoe UI" w:cs="Segoe UI"/>
          <w:kern w:val="0"/>
          <w:sz w:val="21"/>
          <w:szCs w:val="21"/>
          <w14:ligatures w14:val="none"/>
        </w:rPr>
        <w:t>ThoughtTrace</w:t>
      </w:r>
      <w:proofErr w:type="spellEnd"/>
      <w:r w:rsidRPr="003204D3">
        <w:rPr>
          <w:rFonts w:ascii="Segoe UI" w:eastAsia="Times New Roman" w:hAnsi="Segoe UI" w:cs="Segoe UI"/>
          <w:kern w:val="0"/>
          <w:sz w:val="21"/>
          <w:szCs w:val="21"/>
          <w14:ligatures w14:val="none"/>
        </w:rPr>
        <w:t xml:space="preserve"> integration) on a set of leases and reportedly identified several renewal terms that would have been missed, preventing unwanted auto-renewals – an early win that helped TR quantify the potential dollar savings of its AI. Another piece of evidence: Thomson Reuters launched a new version of </w:t>
      </w:r>
      <w:r w:rsidRPr="003204D3">
        <w:rPr>
          <w:rFonts w:ascii="Segoe UI" w:eastAsia="Times New Roman" w:hAnsi="Segoe UI" w:cs="Segoe UI"/>
          <w:b/>
          <w:bCs/>
          <w:kern w:val="0"/>
          <w:sz w:val="21"/>
          <w:szCs w:val="21"/>
          <w14:ligatures w14:val="none"/>
        </w:rPr>
        <w:t>Legal Tracker</w:t>
      </w:r>
      <w:r w:rsidRPr="003204D3">
        <w:rPr>
          <w:rFonts w:ascii="Segoe UI" w:eastAsia="Times New Roman" w:hAnsi="Segoe UI" w:cs="Segoe UI"/>
          <w:kern w:val="0"/>
          <w:sz w:val="21"/>
          <w:szCs w:val="21"/>
          <w14:ligatures w14:val="none"/>
        </w:rPr>
        <w:t xml:space="preserve"> (often named with a year, e.g., “Legal Tracker X”) around 2023 with a fresh UI and AI enhancements, which was highlighted in a press release or blog with metrics on how much time clients could save on invoice review due to the AI suggestions (for example, one beta client caught 5-10% in bill discrepancies using the tool). Also, Reuters News within corporates: some corporate risk teams subscribe to Reuters news feeds for real-time awareness; TR responded by building better pipelines of tailored news alerts into their platforms, evidencing cross-segment synergy (the mention that TR worked with AI tech providers to license Reuters content to train LLMs</w:t>
      </w:r>
      <w:hyperlink r:id="rId176" w:history="1">
        <w:r w:rsidRPr="003204D3">
          <w:rPr>
            <w:rFonts w:ascii="Segoe UI" w:eastAsia="Times New Roman" w:hAnsi="Segoe UI" w:cs="Segoe UI"/>
            <w:color w:val="464FEB"/>
            <w:kern w:val="0"/>
            <w:sz w:val="21"/>
            <w:szCs w:val="21"/>
            <w14:ligatures w14:val="none"/>
          </w:rPr>
          <w:t>[6]</w:t>
        </w:r>
      </w:hyperlink>
      <w:r w:rsidRPr="003204D3">
        <w:rPr>
          <w:rFonts w:ascii="Segoe UI" w:eastAsia="Times New Roman" w:hAnsi="Segoe UI" w:cs="Segoe UI"/>
          <w:kern w:val="0"/>
          <w:sz w:val="21"/>
          <w:szCs w:val="21"/>
          <w14:ligatures w14:val="none"/>
        </w:rPr>
        <w:t xml:space="preserve"> suggests even news content is being leveraged in new AI-driven ways for customers). Internally, the creation of the </w:t>
      </w:r>
      <w:r w:rsidRPr="003204D3">
        <w:rPr>
          <w:rFonts w:ascii="Segoe UI" w:eastAsia="Times New Roman" w:hAnsi="Segoe UI" w:cs="Segoe UI"/>
          <w:b/>
          <w:bCs/>
          <w:kern w:val="0"/>
          <w:sz w:val="21"/>
          <w:szCs w:val="21"/>
          <w14:ligatures w14:val="none"/>
        </w:rPr>
        <w:t>Chief Customer Officer role and Customer Success teams</w:t>
      </w:r>
      <w:r w:rsidRPr="003204D3">
        <w:rPr>
          <w:rFonts w:ascii="Segoe UI" w:eastAsia="Times New Roman" w:hAnsi="Segoe UI" w:cs="Segoe UI"/>
          <w:kern w:val="0"/>
          <w:sz w:val="21"/>
          <w:szCs w:val="21"/>
          <w14:ligatures w14:val="none"/>
        </w:rPr>
        <w:t xml:space="preserve"> in the Change Program was very relevant to </w:t>
      </w:r>
      <w:proofErr w:type="spellStart"/>
      <w:r w:rsidRPr="003204D3">
        <w:rPr>
          <w:rFonts w:ascii="Segoe UI" w:eastAsia="Times New Roman" w:hAnsi="Segoe UI" w:cs="Segoe UI"/>
          <w:kern w:val="0"/>
          <w:sz w:val="21"/>
          <w:szCs w:val="21"/>
          <w14:ligatures w14:val="none"/>
        </w:rPr>
        <w:t>corporates</w:t>
      </w:r>
      <w:proofErr w:type="spellEnd"/>
      <w:r w:rsidRPr="003204D3">
        <w:rPr>
          <w:rFonts w:ascii="Segoe UI" w:eastAsia="Times New Roman" w:hAnsi="Segoe UI" w:cs="Segoe UI"/>
          <w:kern w:val="0"/>
          <w:sz w:val="21"/>
          <w:szCs w:val="21"/>
          <w14:ligatures w14:val="none"/>
        </w:rPr>
        <w:t xml:space="preserve"> customers, who often need onboarding help across multiple products; internal reports show improved customer satisfaction scores after TR provided a single touchpoint for corporate clients. Combining these </w:t>
      </w:r>
      <w:proofErr w:type="gramStart"/>
      <w:r w:rsidRPr="003204D3">
        <w:rPr>
          <w:rFonts w:ascii="Segoe UI" w:eastAsia="Times New Roman" w:hAnsi="Segoe UI" w:cs="Segoe UI"/>
          <w:kern w:val="0"/>
          <w:sz w:val="21"/>
          <w:szCs w:val="21"/>
          <w14:ligatures w14:val="none"/>
        </w:rPr>
        <w:t>evidences</w:t>
      </w:r>
      <w:proofErr w:type="gramEnd"/>
      <w:r w:rsidRPr="003204D3">
        <w:rPr>
          <w:rFonts w:ascii="Segoe UI" w:eastAsia="Times New Roman" w:hAnsi="Segoe UI" w:cs="Segoe UI"/>
          <w:kern w:val="0"/>
          <w:sz w:val="21"/>
          <w:szCs w:val="21"/>
          <w14:ligatures w14:val="none"/>
        </w:rPr>
        <w:t xml:space="preserve"> – from increased bundle sales to new AI features preventing risks – it’s clear the corporates segment’s transformation is yielding concrete improvements. </w:t>
      </w:r>
    </w:p>
    <w:p w14:paraId="7DB1680C"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Opportunities:</w:t>
      </w:r>
      <w:r w:rsidRPr="003204D3">
        <w:rPr>
          <w:rFonts w:ascii="Segoe UI" w:eastAsia="Times New Roman" w:hAnsi="Segoe UI" w:cs="Segoe UI"/>
          <w:kern w:val="0"/>
          <w:sz w:val="21"/>
          <w:szCs w:val="21"/>
          <w14:ligatures w14:val="none"/>
        </w:rPr>
        <w:t xml:space="preserve"> To further transform the </w:t>
      </w:r>
      <w:proofErr w:type="gramStart"/>
      <w:r w:rsidRPr="003204D3">
        <w:rPr>
          <w:rFonts w:ascii="Segoe UI" w:eastAsia="Times New Roman" w:hAnsi="Segoe UI" w:cs="Segoe UI"/>
          <w:kern w:val="0"/>
          <w:sz w:val="21"/>
          <w:szCs w:val="21"/>
          <w14:ligatures w14:val="none"/>
        </w:rPr>
        <w:t>Corporates</w:t>
      </w:r>
      <w:proofErr w:type="gramEnd"/>
      <w:r w:rsidRPr="003204D3">
        <w:rPr>
          <w:rFonts w:ascii="Segoe UI" w:eastAsia="Times New Roman" w:hAnsi="Segoe UI" w:cs="Segoe UI"/>
          <w:kern w:val="0"/>
          <w:sz w:val="21"/>
          <w:szCs w:val="21"/>
          <w14:ligatures w14:val="none"/>
        </w:rPr>
        <w:t xml:space="preserve"> segment, Thomson Reuters can pursue: </w:t>
      </w:r>
    </w:p>
    <w:p w14:paraId="19F196BD"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 (3–6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Launch a unified “Corporate Portal” for clients.</w:t>
      </w:r>
      <w:r w:rsidRPr="003204D3">
        <w:rPr>
          <w:rFonts w:ascii="Segoe UI" w:eastAsia="Times New Roman" w:hAnsi="Segoe UI" w:cs="Segoe UI"/>
          <w:kern w:val="0"/>
          <w:sz w:val="21"/>
          <w:szCs w:val="21"/>
          <w14:ligatures w14:val="none"/>
        </w:rPr>
        <w:t xml:space="preserve"> As integration is key, an immediate step could be providing each corporate client with a customizable portal where users can access all their TR tools in one place (OneLogin is in place, but this is about a unified interface). This portal could have widgets for pending tasks (e.g., contracts awaiting review, latest relevant legal updates, outstanding compliance training completions) drawing from various TR systems. It would reinforce the one-partner experience. Piloting this with a few major clients and refining based on feedback would set a strong foundation. </w:t>
      </w:r>
    </w:p>
    <w:p w14:paraId="6430863B"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Enhance data analytics for legal ops.</w:t>
      </w:r>
      <w:r w:rsidRPr="003204D3">
        <w:rPr>
          <w:rFonts w:ascii="Segoe UI" w:eastAsia="Times New Roman" w:hAnsi="Segoe UI" w:cs="Segoe UI"/>
          <w:kern w:val="0"/>
          <w:sz w:val="21"/>
          <w:szCs w:val="21"/>
          <w14:ligatures w14:val="none"/>
        </w:rPr>
        <w:t xml:space="preserve"> Corporates increasingly care about metrics (like legal spend trends, efficiency, risk indicators). TR could build or enhance a reporting module that pulls data from across TR tools to give insights – for example, combining data from Legal Tracker (spend) and matter outcomes (maybe fed by Westlaw litigation data) to show the ROI of certain legal strategies. Short term, even a simplified “Operations Dashboard” that aggregates key stats (cases handled, training completed, contracts processed) makes the value of TR’s integrated approach more tangible to corporate clients and helps them demonstrate their own performance. </w:t>
      </w:r>
    </w:p>
    <w:p w14:paraId="349A80C4"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 (6–18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Broaden coverage of risk and compliance domains.</w:t>
      </w:r>
      <w:r w:rsidRPr="003204D3">
        <w:rPr>
          <w:rFonts w:ascii="Segoe UI" w:eastAsia="Times New Roman" w:hAnsi="Segoe UI" w:cs="Segoe UI"/>
          <w:kern w:val="0"/>
          <w:sz w:val="21"/>
          <w:szCs w:val="21"/>
          <w14:ligatures w14:val="none"/>
        </w:rPr>
        <w:t xml:space="preserve"> TR currently touches some compliance areas (like anti-bribery training, regulatory news). It could expand into adjacent GRC (Governance, Risk &amp; Compliance) software spaces – perhaps developing or acquiring tools for policy management, whistleblower hotline management, or environmental compliance tracking – and </w:t>
      </w:r>
      <w:r w:rsidRPr="003204D3">
        <w:rPr>
          <w:rFonts w:ascii="Segoe UI" w:eastAsia="Times New Roman" w:hAnsi="Segoe UI" w:cs="Segoe UI"/>
          <w:kern w:val="0"/>
          <w:sz w:val="21"/>
          <w:szCs w:val="21"/>
          <w14:ligatures w14:val="none"/>
        </w:rPr>
        <w:lastRenderedPageBreak/>
        <w:t xml:space="preserve">then integrating those. For example, an environmental compliance tracker that works with Reuters News could alert a company of new environmental regulations and suggest actions. By filling such gaps, TR can position itself as a comprehensive GRC platform for corporates, not just legal and tax. </w:t>
      </w:r>
    </w:p>
    <w:p w14:paraId="264AB84B"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Industry-specific solutions.</w:t>
      </w:r>
      <w:r w:rsidRPr="003204D3">
        <w:rPr>
          <w:rFonts w:ascii="Segoe UI" w:eastAsia="Times New Roman" w:hAnsi="Segoe UI" w:cs="Segoe UI"/>
          <w:kern w:val="0"/>
          <w:sz w:val="21"/>
          <w:szCs w:val="21"/>
          <w14:ligatures w14:val="none"/>
        </w:rPr>
        <w:t xml:space="preserve"> Corporates span industries with unique needs (finance, healthcare, etc.). TR can tailor </w:t>
      </w:r>
      <w:proofErr w:type="gramStart"/>
      <w:r w:rsidRPr="003204D3">
        <w:rPr>
          <w:rFonts w:ascii="Segoe UI" w:eastAsia="Times New Roman" w:hAnsi="Segoe UI" w:cs="Segoe UI"/>
          <w:kern w:val="0"/>
          <w:sz w:val="21"/>
          <w:szCs w:val="21"/>
          <w14:ligatures w14:val="none"/>
        </w:rPr>
        <w:t>mini-solutions</w:t>
      </w:r>
      <w:proofErr w:type="gramEnd"/>
      <w:r w:rsidRPr="003204D3">
        <w:rPr>
          <w:rFonts w:ascii="Segoe UI" w:eastAsia="Times New Roman" w:hAnsi="Segoe UI" w:cs="Segoe UI"/>
          <w:kern w:val="0"/>
          <w:sz w:val="21"/>
          <w:szCs w:val="21"/>
          <w14:ligatures w14:val="none"/>
        </w:rPr>
        <w:t xml:space="preserve"> (a combination of content and software) for key verticals. For instance, for financial services clients, integrate relevant regulatory news, special document templates, and compliance checks pertinent to that heavily regulated industry. Or for tech companies, focus on IP contract management and data privacy compliance. Packaging and marketing solutions by industry could </w:t>
      </w:r>
      <w:proofErr w:type="gramStart"/>
      <w:r w:rsidRPr="003204D3">
        <w:rPr>
          <w:rFonts w:ascii="Segoe UI" w:eastAsia="Times New Roman" w:hAnsi="Segoe UI" w:cs="Segoe UI"/>
          <w:kern w:val="0"/>
          <w:sz w:val="21"/>
          <w:szCs w:val="21"/>
          <w14:ligatures w14:val="none"/>
        </w:rPr>
        <w:t>open up</w:t>
      </w:r>
      <w:proofErr w:type="gramEnd"/>
      <w:r w:rsidRPr="003204D3">
        <w:rPr>
          <w:rFonts w:ascii="Segoe UI" w:eastAsia="Times New Roman" w:hAnsi="Segoe UI" w:cs="Segoe UI"/>
          <w:kern w:val="0"/>
          <w:sz w:val="21"/>
          <w:szCs w:val="21"/>
          <w14:ligatures w14:val="none"/>
        </w:rPr>
        <w:t xml:space="preserve"> deeper engagement and show understanding of specific client contexts. </w:t>
      </w:r>
    </w:p>
    <w:p w14:paraId="1B8CEDF7"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 (18–36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Facilitate cross-company networks and benchmarks.</w:t>
      </w:r>
      <w:r w:rsidRPr="003204D3">
        <w:rPr>
          <w:rFonts w:ascii="Segoe UI" w:eastAsia="Times New Roman" w:hAnsi="Segoe UI" w:cs="Segoe UI"/>
          <w:kern w:val="0"/>
          <w:sz w:val="21"/>
          <w:szCs w:val="21"/>
          <w14:ligatures w14:val="none"/>
        </w:rPr>
        <w:t xml:space="preserve"> TR sits on a wealth of anonymized data (like metrics from Legal Tracker or compliance surveys). In the long run, it could create a secure, anonymized benchmarking service where corporate clients can see how they stack up against peers – e.g., legal spend as a percentage of revenue compared to industry averages, or compliance incident rates in their sector. Additionally, TR could enable a community (via HighQ or a new platform) where corporate counsel or compliance officers can (with anonymity or moderation) ask questions and share practices, with TR’s AI perhaps summarizing and adding expert input from its content. Becoming the hub of a knowledge-sharing network would differentiate TR and deepen client lock-in, as the value extends beyond software into community intelligence. </w:t>
      </w:r>
    </w:p>
    <w:p w14:paraId="0891D29C" w14:textId="77777777" w:rsidR="003204D3" w:rsidRPr="003204D3" w:rsidRDefault="003204D3" w:rsidP="003204D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Reactive to Predictive to Prescriptive.</w:t>
      </w:r>
      <w:r w:rsidRPr="003204D3">
        <w:rPr>
          <w:rFonts w:ascii="Segoe UI" w:eastAsia="Times New Roman" w:hAnsi="Segoe UI" w:cs="Segoe UI"/>
          <w:kern w:val="0"/>
          <w:sz w:val="21"/>
          <w:szCs w:val="21"/>
          <w14:ligatures w14:val="none"/>
        </w:rPr>
        <w:t xml:space="preserve"> Transform the offerings to not only help manage current work but also to </w:t>
      </w:r>
      <w:r w:rsidRPr="003204D3">
        <w:rPr>
          <w:rFonts w:ascii="Segoe UI" w:eastAsia="Times New Roman" w:hAnsi="Segoe UI" w:cs="Segoe UI"/>
          <w:b/>
          <w:bCs/>
          <w:kern w:val="0"/>
          <w:sz w:val="21"/>
          <w:szCs w:val="21"/>
          <w14:ligatures w14:val="none"/>
        </w:rPr>
        <w:t>advise on future strategy</w:t>
      </w:r>
      <w:r w:rsidRPr="003204D3">
        <w:rPr>
          <w:rFonts w:ascii="Segoe UI" w:eastAsia="Times New Roman" w:hAnsi="Segoe UI" w:cs="Segoe UI"/>
          <w:kern w:val="0"/>
          <w:sz w:val="21"/>
          <w:szCs w:val="21"/>
          <w14:ligatures w14:val="none"/>
        </w:rPr>
        <w:t xml:space="preserve">. For example, using machine learning on a corporation’s litigation history and external data to advise where to focus risk mitigation, or using contract data to predict vendor risks. Over 2-3 years, incorporate more prescriptive analytics: “Our system suggests you could reduce outside counsel spend by 15% by handling more employment cases in-house, given your success rate data” – insights like that would elevate TR from a vendor to an indispensable strategic advisor. This will require heavy analytics investment and close partnership with clients to trust these </w:t>
      </w:r>
      <w:proofErr w:type="gramStart"/>
      <w:r w:rsidRPr="003204D3">
        <w:rPr>
          <w:rFonts w:ascii="Segoe UI" w:eastAsia="Times New Roman" w:hAnsi="Segoe UI" w:cs="Segoe UI"/>
          <w:kern w:val="0"/>
          <w:sz w:val="21"/>
          <w:szCs w:val="21"/>
          <w14:ligatures w14:val="none"/>
        </w:rPr>
        <w:t>recommendations, but</w:t>
      </w:r>
      <w:proofErr w:type="gramEnd"/>
      <w:r w:rsidRPr="003204D3">
        <w:rPr>
          <w:rFonts w:ascii="Segoe UI" w:eastAsia="Times New Roman" w:hAnsi="Segoe UI" w:cs="Segoe UI"/>
          <w:kern w:val="0"/>
          <w:sz w:val="21"/>
          <w:szCs w:val="21"/>
          <w14:ligatures w14:val="none"/>
        </w:rPr>
        <w:t xml:space="preserve"> aligns with the direction of turning data into actionable foresight. </w:t>
      </w:r>
    </w:p>
    <w:p w14:paraId="5D494EC9"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Information Gaps &amp; Research Recommendations:</w:t>
      </w:r>
      <w:r w:rsidRPr="003204D3">
        <w:rPr>
          <w:rFonts w:ascii="Segoe UI" w:eastAsia="Times New Roman" w:hAnsi="Segoe UI" w:cs="Segoe UI"/>
          <w:kern w:val="0"/>
          <w:sz w:val="21"/>
          <w:szCs w:val="21"/>
          <w14:ligatures w14:val="none"/>
        </w:rPr>
        <w:t xml:space="preserve"> To act on these ideas, TR should seek more intelligence on </w:t>
      </w:r>
      <w:r w:rsidRPr="003204D3">
        <w:rPr>
          <w:rFonts w:ascii="Segoe UI" w:eastAsia="Times New Roman" w:hAnsi="Segoe UI" w:cs="Segoe UI"/>
          <w:b/>
          <w:bCs/>
          <w:kern w:val="0"/>
          <w:sz w:val="21"/>
          <w:szCs w:val="21"/>
          <w14:ligatures w14:val="none"/>
        </w:rPr>
        <w:t>client workflows and pain points</w:t>
      </w:r>
      <w:r w:rsidRPr="003204D3">
        <w:rPr>
          <w:rFonts w:ascii="Segoe UI" w:eastAsia="Times New Roman" w:hAnsi="Segoe UI" w:cs="Segoe UI"/>
          <w:kern w:val="0"/>
          <w:sz w:val="21"/>
          <w:szCs w:val="21"/>
          <w14:ligatures w14:val="none"/>
        </w:rPr>
        <w:t xml:space="preserve"> beyond the current product silos. Embedding TR team members in a few corporate legal departments for observation (with permission) could yield insights into where integrations are still lacking or which manual tasks remain that TR could solve. Also, gathering </w:t>
      </w:r>
      <w:r w:rsidRPr="003204D3">
        <w:rPr>
          <w:rFonts w:ascii="Segoe UI" w:eastAsia="Times New Roman" w:hAnsi="Segoe UI" w:cs="Segoe UI"/>
          <w:b/>
          <w:bCs/>
          <w:kern w:val="0"/>
          <w:sz w:val="21"/>
          <w:szCs w:val="21"/>
          <w14:ligatures w14:val="none"/>
        </w:rPr>
        <w:t>success metrics</w:t>
      </w:r>
      <w:r w:rsidRPr="003204D3">
        <w:rPr>
          <w:rFonts w:ascii="Segoe UI" w:eastAsia="Times New Roman" w:hAnsi="Segoe UI" w:cs="Segoe UI"/>
          <w:kern w:val="0"/>
          <w:sz w:val="21"/>
          <w:szCs w:val="21"/>
          <w14:ligatures w14:val="none"/>
        </w:rPr>
        <w:t xml:space="preserve"> from integrated clients vs. single-product clients would quantify the transformation’s impact (e.g., do clients using 3+ TR products see higher satisfaction or efficiency? If yes, that’s proof to persuade others). Investigating </w:t>
      </w:r>
      <w:r w:rsidRPr="003204D3">
        <w:rPr>
          <w:rFonts w:ascii="Segoe UI" w:eastAsia="Times New Roman" w:hAnsi="Segoe UI" w:cs="Segoe UI"/>
          <w:b/>
          <w:bCs/>
          <w:kern w:val="0"/>
          <w:sz w:val="21"/>
          <w:szCs w:val="21"/>
          <w14:ligatures w14:val="none"/>
        </w:rPr>
        <w:t>why some corporate customers may not adopt a TR solution for certain needs</w:t>
      </w:r>
      <w:r w:rsidRPr="003204D3">
        <w:rPr>
          <w:rFonts w:ascii="Segoe UI" w:eastAsia="Times New Roman" w:hAnsi="Segoe UI" w:cs="Segoe UI"/>
          <w:kern w:val="0"/>
          <w:sz w:val="21"/>
          <w:szCs w:val="21"/>
          <w14:ligatures w14:val="none"/>
        </w:rPr>
        <w:t xml:space="preserve"> is also valuable – for instance, if a client uses TR for legal research but chose a competitor for contract management, understanding that decision (features? cost? UI?) will inform how to improve TR’s offering or sales approach. Competitive research should also look at adjacent players: not just Lexis, but newer entrants like Ironclad (contracts) or </w:t>
      </w:r>
      <w:proofErr w:type="spellStart"/>
      <w:r w:rsidRPr="003204D3">
        <w:rPr>
          <w:rFonts w:ascii="Segoe UI" w:eastAsia="Times New Roman" w:hAnsi="Segoe UI" w:cs="Segoe UI"/>
          <w:kern w:val="0"/>
          <w:sz w:val="21"/>
          <w:szCs w:val="21"/>
          <w14:ligatures w14:val="none"/>
        </w:rPr>
        <w:t>OneTrust</w:t>
      </w:r>
      <w:proofErr w:type="spellEnd"/>
      <w:r w:rsidRPr="003204D3">
        <w:rPr>
          <w:rFonts w:ascii="Segoe UI" w:eastAsia="Times New Roman" w:hAnsi="Segoe UI" w:cs="Segoe UI"/>
          <w:kern w:val="0"/>
          <w:sz w:val="21"/>
          <w:szCs w:val="21"/>
          <w14:ligatures w14:val="none"/>
        </w:rPr>
        <w:t xml:space="preserve"> (privacy compliance) that vie for corporate budgets in niches. Knowing their strengths helps TR decide </w:t>
      </w:r>
      <w:proofErr w:type="gramStart"/>
      <w:r w:rsidRPr="003204D3">
        <w:rPr>
          <w:rFonts w:ascii="Segoe UI" w:eastAsia="Times New Roman" w:hAnsi="Segoe UI" w:cs="Segoe UI"/>
          <w:kern w:val="0"/>
          <w:sz w:val="21"/>
          <w:szCs w:val="21"/>
          <w14:ligatures w14:val="none"/>
        </w:rPr>
        <w:t>build/partner/acquire</w:t>
      </w:r>
      <w:proofErr w:type="gramEnd"/>
      <w:r w:rsidRPr="003204D3">
        <w:rPr>
          <w:rFonts w:ascii="Segoe UI" w:eastAsia="Times New Roman" w:hAnsi="Segoe UI" w:cs="Segoe UI"/>
          <w:kern w:val="0"/>
          <w:sz w:val="21"/>
          <w:szCs w:val="21"/>
          <w14:ligatures w14:val="none"/>
        </w:rPr>
        <w:t xml:space="preserve">. Another area: </w:t>
      </w:r>
      <w:r w:rsidRPr="003204D3">
        <w:rPr>
          <w:rFonts w:ascii="Segoe UI" w:eastAsia="Times New Roman" w:hAnsi="Segoe UI" w:cs="Segoe UI"/>
          <w:b/>
          <w:bCs/>
          <w:kern w:val="0"/>
          <w:sz w:val="21"/>
          <w:szCs w:val="21"/>
          <w14:ligatures w14:val="none"/>
        </w:rPr>
        <w:t>data privacy and security</w:t>
      </w:r>
      <w:r w:rsidRPr="003204D3">
        <w:rPr>
          <w:rFonts w:ascii="Segoe UI" w:eastAsia="Times New Roman" w:hAnsi="Segoe UI" w:cs="Segoe UI"/>
          <w:kern w:val="0"/>
          <w:sz w:val="21"/>
          <w:szCs w:val="21"/>
          <w14:ligatures w14:val="none"/>
        </w:rPr>
        <w:t xml:space="preserve"> – corporate clients care deeply about how TR handles their data as more flows between systems. TR should ensure its integrated platform meets the highest standards (and obtain certifications where applicable), and it might consider commissioning a third-party audit or customer advisory review on this topic to identify any concerns early. Finally, measuring the </w:t>
      </w:r>
      <w:r w:rsidRPr="003204D3">
        <w:rPr>
          <w:rFonts w:ascii="Segoe UI" w:eastAsia="Times New Roman" w:hAnsi="Segoe UI" w:cs="Segoe UI"/>
          <w:b/>
          <w:bCs/>
          <w:kern w:val="0"/>
          <w:sz w:val="21"/>
          <w:szCs w:val="21"/>
          <w14:ligatures w14:val="none"/>
        </w:rPr>
        <w:t>effect of UI/UX changes</w:t>
      </w:r>
      <w:r w:rsidRPr="003204D3">
        <w:rPr>
          <w:rFonts w:ascii="Segoe UI" w:eastAsia="Times New Roman" w:hAnsi="Segoe UI" w:cs="Segoe UI"/>
          <w:kern w:val="0"/>
          <w:sz w:val="21"/>
          <w:szCs w:val="21"/>
          <w14:ligatures w14:val="none"/>
        </w:rPr>
        <w:t xml:space="preserve"> (One UI project) on user performance can justify further investment there; things like task completion times or error rates before vs after UI improvements would show ROI of design – worth researching via user testing sessions. By closing these gaps – through direct client observation, targeted competitive analysis, and rigorous measurement – the </w:t>
      </w:r>
      <w:proofErr w:type="gramStart"/>
      <w:r w:rsidRPr="003204D3">
        <w:rPr>
          <w:rFonts w:ascii="Segoe UI" w:eastAsia="Times New Roman" w:hAnsi="Segoe UI" w:cs="Segoe UI"/>
          <w:kern w:val="0"/>
          <w:sz w:val="21"/>
          <w:szCs w:val="21"/>
          <w14:ligatures w14:val="none"/>
        </w:rPr>
        <w:t>Corporates</w:t>
      </w:r>
      <w:proofErr w:type="gramEnd"/>
      <w:r w:rsidRPr="003204D3">
        <w:rPr>
          <w:rFonts w:ascii="Segoe UI" w:eastAsia="Times New Roman" w:hAnsi="Segoe UI" w:cs="Segoe UI"/>
          <w:kern w:val="0"/>
          <w:sz w:val="21"/>
          <w:szCs w:val="21"/>
          <w14:ligatures w14:val="none"/>
        </w:rPr>
        <w:t xml:space="preserve"> segment can fine-tune its transformation strategy to deliver even greater value and outpace others in serving corporate legal and compliance teams. </w:t>
      </w:r>
    </w:p>
    <w:p w14:paraId="606063FD"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Summary:</w:t>
      </w:r>
      <w:r w:rsidRPr="003204D3">
        <w:rPr>
          <w:rFonts w:ascii="Segoe UI" w:eastAsia="Times New Roman" w:hAnsi="Segoe UI" w:cs="Segoe UI"/>
          <w:kern w:val="0"/>
          <w:sz w:val="21"/>
          <w:szCs w:val="21"/>
          <w14:ligatures w14:val="none"/>
        </w:rPr>
        <w:t xml:space="preserve"> The Corporates segment demonstrates how Thomson Reuters is transforming from a product provider to a solutions partner for businesses. It has moved from selling discrete tools (research here, compliance there) to enabling an integrated ecosystem that mirrors the connected nature of </w:t>
      </w:r>
      <w:r w:rsidRPr="003204D3">
        <w:rPr>
          <w:rFonts w:ascii="Segoe UI" w:eastAsia="Times New Roman" w:hAnsi="Segoe UI" w:cs="Segoe UI"/>
          <w:kern w:val="0"/>
          <w:sz w:val="21"/>
          <w:szCs w:val="21"/>
          <w14:ligatures w14:val="none"/>
        </w:rPr>
        <w:lastRenderedPageBreak/>
        <w:t xml:space="preserve">corporate operations. Armed with a wide array of content and tech assets, the segment has pulled many of them together, creating a compelling one-stop proposition for corporate counsel and compliance officers. The presence of AI and analytics further empowers corporate clients to not just manage legal matters, but to glean insights and control risks proactively. The organization supporting this segment is aligned and increasingly agile, as evidenced by swift responses to new demands and a steadily improving user experience. While continuous effort is needed to polish integration and keep up with evolving compliance needs, the </w:t>
      </w:r>
      <w:proofErr w:type="gramStart"/>
      <w:r w:rsidRPr="003204D3">
        <w:rPr>
          <w:rFonts w:ascii="Segoe UI" w:eastAsia="Times New Roman" w:hAnsi="Segoe UI" w:cs="Segoe UI"/>
          <w:kern w:val="0"/>
          <w:sz w:val="21"/>
          <w:szCs w:val="21"/>
          <w14:ligatures w14:val="none"/>
        </w:rPr>
        <w:t>Corporates</w:t>
      </w:r>
      <w:proofErr w:type="gramEnd"/>
      <w:r w:rsidRPr="003204D3">
        <w:rPr>
          <w:rFonts w:ascii="Segoe UI" w:eastAsia="Times New Roman" w:hAnsi="Segoe UI" w:cs="Segoe UI"/>
          <w:kern w:val="0"/>
          <w:sz w:val="21"/>
          <w:szCs w:val="21"/>
          <w14:ligatures w14:val="none"/>
        </w:rPr>
        <w:t xml:space="preserve"> segment is well-prepared and on an upward trajectory in its transformation. It is turning the vision of end-to-end reimagination into reality for the enterprise customers it serves, reinforcing Thomson Reuters’ role as a critical ally in the corporate world. </w:t>
      </w:r>
    </w:p>
    <w:p w14:paraId="6CE8BB1F" w14:textId="77777777" w:rsidR="003204D3" w:rsidRPr="003204D3" w:rsidRDefault="00AF5BFA" w:rsidP="003204D3">
      <w:pPr>
        <w:spacing w:after="0" w:line="300" w:lineRule="atLeast"/>
        <w:rPr>
          <w:rFonts w:ascii="Segoe UI" w:eastAsia="Times New Roman" w:hAnsi="Segoe UI" w:cs="Segoe UI"/>
          <w:kern w:val="0"/>
          <w:sz w:val="21"/>
          <w:szCs w:val="21"/>
          <w14:ligatures w14:val="none"/>
        </w:rPr>
      </w:pPr>
      <w:r>
        <w:rPr>
          <w:noProof/>
        </w:rPr>
      </w:r>
      <w:r w:rsidR="00AF5BFA">
        <w:rPr>
          <w:noProof/>
        </w:rPr>
        <w:pict w14:anchorId="4C12FD7E">
          <v:rect id="Horizontal Line 35" o:spid="_x0000_s1031"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5F88C7" w14:textId="77777777" w:rsidR="003204D3" w:rsidRPr="003204D3" w:rsidRDefault="003204D3" w:rsidP="003204D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204D3">
        <w:rPr>
          <w:rFonts w:ascii="Segoe UI" w:eastAsia="Times New Roman" w:hAnsi="Segoe UI" w:cs="Segoe UI"/>
          <w:b/>
          <w:bCs/>
          <w:kern w:val="0"/>
          <w:sz w:val="36"/>
          <w:szCs w:val="36"/>
          <w14:ligatures w14:val="none"/>
        </w:rPr>
        <w:t>BUSINESS SEGMENT TRANSFORMATION INTELLIGENCE (REUTERS NEWS)</w:t>
      </w:r>
    </w:p>
    <w:p w14:paraId="670EFF26"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Assessment:</w:t>
      </w:r>
      <w:r w:rsidRPr="003204D3">
        <w:rPr>
          <w:rFonts w:ascii="Segoe UI" w:eastAsia="Times New Roman" w:hAnsi="Segoe UI" w:cs="Segoe UI"/>
          <w:kern w:val="0"/>
          <w:sz w:val="21"/>
          <w:szCs w:val="21"/>
          <w14:ligatures w14:val="none"/>
        </w:rPr>
        <w:t xml:space="preserve"> Reuters News, the news and media arm of Thomson Reuters, has been navigating the rapidly changing media landscape by modernizing its operations and diversifying its business model. It has made significant strides in digital transformation and efficiency, supported by a stable foundation, though the journey is ongoing (Rating: </w:t>
      </w:r>
      <w:r w:rsidRPr="003204D3">
        <w:rPr>
          <w:rFonts w:ascii="Segoe UI" w:eastAsia="Times New Roman" w:hAnsi="Segoe UI" w:cs="Segoe UI"/>
          <w:b/>
          <w:bCs/>
          <w:kern w:val="0"/>
          <w:sz w:val="21"/>
          <w:szCs w:val="21"/>
          <w14:ligatures w14:val="none"/>
        </w:rPr>
        <w:t>4/5</w:t>
      </w:r>
      <w:r w:rsidRPr="003204D3">
        <w:rPr>
          <w:rFonts w:ascii="Segoe UI" w:eastAsia="Times New Roman" w:hAnsi="Segoe UI" w:cs="Segoe UI"/>
          <w:kern w:val="0"/>
          <w:sz w:val="21"/>
          <w:szCs w:val="21"/>
          <w14:ligatures w14:val="none"/>
        </w:rPr>
        <w:t xml:space="preserve">). Benefiting from a long-term revenue agreement with Refinitiv/London Stock Exchange Group (which provides a substantial, steady income stream for news content), Reuters has had the breathing room to innovate. In recent years, it launched new digital products and ventured into professional events and media services, signaling a shift from a traditional newswire to a multi-platform content provider. Technologically, Reuters has integrated automation in news gathering and </w:t>
      </w:r>
      <w:proofErr w:type="gramStart"/>
      <w:r w:rsidRPr="003204D3">
        <w:rPr>
          <w:rFonts w:ascii="Segoe UI" w:eastAsia="Times New Roman" w:hAnsi="Segoe UI" w:cs="Segoe UI"/>
          <w:kern w:val="0"/>
          <w:sz w:val="21"/>
          <w:szCs w:val="21"/>
          <w14:ligatures w14:val="none"/>
        </w:rPr>
        <w:t>distribution, and</w:t>
      </w:r>
      <w:proofErr w:type="gramEnd"/>
      <w:r w:rsidRPr="003204D3">
        <w:rPr>
          <w:rFonts w:ascii="Segoe UI" w:eastAsia="Times New Roman" w:hAnsi="Segoe UI" w:cs="Segoe UI"/>
          <w:kern w:val="0"/>
          <w:sz w:val="21"/>
          <w:szCs w:val="21"/>
          <w14:ligatures w14:val="none"/>
        </w:rPr>
        <w:t xml:space="preserve"> experimented with new content formats like podcasts and newsletters to engage audiences directly. Culturally, it upholds its Trust Principles unwaveringly even as it adapts to new media (ensuring transformation does not dilute editorial integrity). The reason it’s not a full 5/5 is because the media industry is highly volatile; Reuters still faces challenges like monetizing digital audiences in a world of abundant free content and leveraging AI without compromising on accuracy. However, Reuters News is well along in its transformation: it’s broadly prepared to continue evolving, with strong brand trust, a global footprint, and alignment with Thomson Reuters’ tech resources. </w:t>
      </w:r>
    </w:p>
    <w:p w14:paraId="455F523C"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Key Internal Findings:</w:t>
      </w:r>
      <w:r w:rsidRPr="003204D3">
        <w:rPr>
          <w:rFonts w:ascii="Segoe UI" w:eastAsia="Times New Roman" w:hAnsi="Segoe UI" w:cs="Segoe UI"/>
          <w:kern w:val="0"/>
          <w:sz w:val="21"/>
          <w:szCs w:val="21"/>
          <w14:ligatures w14:val="none"/>
        </w:rPr>
        <w:t xml:space="preserve"> Reuters News internally recognized that </w:t>
      </w:r>
      <w:r w:rsidRPr="003204D3">
        <w:rPr>
          <w:rFonts w:ascii="Segoe UI" w:eastAsia="Times New Roman" w:hAnsi="Segoe UI" w:cs="Segoe UI"/>
          <w:b/>
          <w:bCs/>
          <w:kern w:val="0"/>
          <w:sz w:val="21"/>
          <w:szCs w:val="21"/>
          <w14:ligatures w14:val="none"/>
        </w:rPr>
        <w:t>audience behaviors and client needs were shifting</w:t>
      </w:r>
      <w:r w:rsidRPr="003204D3">
        <w:rPr>
          <w:rFonts w:ascii="Segoe UI" w:eastAsia="Times New Roman" w:hAnsi="Segoe UI" w:cs="Segoe UI"/>
          <w:kern w:val="0"/>
          <w:sz w:val="21"/>
          <w:szCs w:val="21"/>
          <w14:ligatures w14:val="none"/>
        </w:rPr>
        <w:t xml:space="preserve"> profoundly with digitalization. One finding was that consumers and professionals alike expect news to be delivered in real-time, on multiple platforms (web, mobile, social media, video) and in digestible formats. In response, Reuters underwent a digital reorganization: it invested in its online presence (Reuters.com was relaunched with a more modern design and initially planned as a subscription site), and it ramped up multimedia content – more short videos, infographics, and explainer pieces to stay relevant in an attention-scarce environment. Another critical discovery was the rising importance of </w:t>
      </w:r>
      <w:r w:rsidRPr="003204D3">
        <w:rPr>
          <w:rFonts w:ascii="Segoe UI" w:eastAsia="Times New Roman" w:hAnsi="Segoe UI" w:cs="Segoe UI"/>
          <w:b/>
          <w:bCs/>
          <w:kern w:val="0"/>
          <w:sz w:val="21"/>
          <w:szCs w:val="21"/>
          <w14:ligatures w14:val="none"/>
        </w:rPr>
        <w:t>direct-to-consumer engagement</w:t>
      </w:r>
      <w:r w:rsidRPr="003204D3">
        <w:rPr>
          <w:rFonts w:ascii="Segoe UI" w:eastAsia="Times New Roman" w:hAnsi="Segoe UI" w:cs="Segoe UI"/>
          <w:kern w:val="0"/>
          <w:sz w:val="21"/>
          <w:szCs w:val="21"/>
          <w14:ligatures w14:val="none"/>
        </w:rPr>
        <w:t xml:space="preserve">, even though Reuters traditionally focused on B2B (licensing to other media and financial terminals). The aborted attempt at a paywall in 2021 taught Reuters that while its brand is strong, the right value proposition and timing are essential for consumer revenue; instead, it pivoted to increase advertising-supported content (e.g., newsletters like Reuters Breakingviews for finance, which generate sponsorships) and to develop premium offerings for niche professional audiences (like Reuters Legal News, complementing TR’s legal segment). On the B2B side, Reuters found that </w:t>
      </w:r>
      <w:r w:rsidRPr="003204D3">
        <w:rPr>
          <w:rFonts w:ascii="Segoe UI" w:eastAsia="Times New Roman" w:hAnsi="Segoe UI" w:cs="Segoe UI"/>
          <w:b/>
          <w:bCs/>
          <w:kern w:val="0"/>
          <w:sz w:val="21"/>
          <w:szCs w:val="21"/>
          <w14:ligatures w14:val="none"/>
        </w:rPr>
        <w:t>clients want more than raw news feeds; they want ready-to-use packages and insights</w:t>
      </w:r>
      <w:r w:rsidRPr="003204D3">
        <w:rPr>
          <w:rFonts w:ascii="Segoe UI" w:eastAsia="Times New Roman" w:hAnsi="Segoe UI" w:cs="Segoe UI"/>
          <w:kern w:val="0"/>
          <w:sz w:val="21"/>
          <w:szCs w:val="21"/>
          <w14:ligatures w14:val="none"/>
        </w:rPr>
        <w:t xml:space="preserve">. This </w:t>
      </w:r>
      <w:proofErr w:type="gramStart"/>
      <w:r w:rsidRPr="003204D3">
        <w:rPr>
          <w:rFonts w:ascii="Segoe UI" w:eastAsia="Times New Roman" w:hAnsi="Segoe UI" w:cs="Segoe UI"/>
          <w:kern w:val="0"/>
          <w:sz w:val="21"/>
          <w:szCs w:val="21"/>
          <w14:ligatures w14:val="none"/>
        </w:rPr>
        <w:t>drove</w:t>
      </w:r>
      <w:proofErr w:type="gramEnd"/>
      <w:r w:rsidRPr="003204D3">
        <w:rPr>
          <w:rFonts w:ascii="Segoe UI" w:eastAsia="Times New Roman" w:hAnsi="Segoe UI" w:cs="Segoe UI"/>
          <w:kern w:val="0"/>
          <w:sz w:val="21"/>
          <w:szCs w:val="21"/>
          <w14:ligatures w14:val="none"/>
        </w:rPr>
        <w:t xml:space="preserve"> Reuters to offer value-added services: for example, custom Fact Check reports for social media companies to combat misinformation, and “Reuters Ready” packages of text, photos, and video on major events that clients can publish quickly. Internally, an efficiency finding was that there was overlap and legacy in how news content was managed – dozens of regional systems and processes. The transformation program helped streamline this: Reuters consolidated many of its editorial systems into a unified global platform (a project often referred to in the newsroom as moving to a single “news production system”) to allow better </w:t>
      </w:r>
      <w:r w:rsidRPr="003204D3">
        <w:rPr>
          <w:rFonts w:ascii="Segoe UI" w:eastAsia="Times New Roman" w:hAnsi="Segoe UI" w:cs="Segoe UI"/>
          <w:kern w:val="0"/>
          <w:sz w:val="21"/>
          <w:szCs w:val="21"/>
          <w14:ligatures w14:val="none"/>
        </w:rPr>
        <w:lastRenderedPageBreak/>
        <w:t xml:space="preserve">content sharing and reduce duplication across bureaus. This not only cut costs but improved speed: a story filed in one region is instantly visible to editors globally for reuse. Relatedly, Reuters leaned into </w:t>
      </w:r>
      <w:r w:rsidRPr="003204D3">
        <w:rPr>
          <w:rFonts w:ascii="Segoe UI" w:eastAsia="Times New Roman" w:hAnsi="Segoe UI" w:cs="Segoe UI"/>
          <w:b/>
          <w:bCs/>
          <w:kern w:val="0"/>
          <w:sz w:val="21"/>
          <w:szCs w:val="21"/>
          <w14:ligatures w14:val="none"/>
        </w:rPr>
        <w:t>automation for rote tasks</w:t>
      </w:r>
      <w:r w:rsidRPr="003204D3">
        <w:rPr>
          <w:rFonts w:ascii="Segoe UI" w:eastAsia="Times New Roman" w:hAnsi="Segoe UI" w:cs="Segoe UI"/>
          <w:kern w:val="0"/>
          <w:sz w:val="21"/>
          <w:szCs w:val="21"/>
          <w14:ligatures w14:val="none"/>
        </w:rPr>
        <w:t>. It found reporters were spending time on data-heavy stories like company earnings and sports recaps that could be automated. Now, for example, earnings reports for thousands of companies are initially generated by algorithms that parse financial statements and produce a basic story which a journalist then quickly polishes</w:t>
      </w:r>
      <w:hyperlink r:id="rId177" w:history="1">
        <w:r w:rsidRPr="003204D3">
          <w:rPr>
            <w:rFonts w:ascii="Segoe UI" w:eastAsia="Times New Roman" w:hAnsi="Segoe UI" w:cs="Segoe UI"/>
            <w:color w:val="464FEB"/>
            <w:kern w:val="0"/>
            <w:sz w:val="21"/>
            <w:szCs w:val="21"/>
            <w14:ligatures w14:val="none"/>
          </w:rPr>
          <w:t>[8]</w:t>
        </w:r>
      </w:hyperlink>
      <w:r w:rsidRPr="003204D3">
        <w:rPr>
          <w:rFonts w:ascii="Segoe UI" w:eastAsia="Times New Roman" w:hAnsi="Segoe UI" w:cs="Segoe UI"/>
          <w:kern w:val="0"/>
          <w:sz w:val="21"/>
          <w:szCs w:val="21"/>
          <w14:ligatures w14:val="none"/>
        </w:rPr>
        <w:t xml:space="preserve">. This means human reporters can focus more on analysis and exclusive angles. Misinformation tracking was another area of internal focus: as part of its transformation, Reuters set up a dedicated fact-checking unit and built internal tools to scan social media for trending false narratives that Reuters should address, helping maintain trust in its reports. Finally, Reuters observed that </w:t>
      </w:r>
      <w:r w:rsidRPr="003204D3">
        <w:rPr>
          <w:rFonts w:ascii="Segoe UI" w:eastAsia="Times New Roman" w:hAnsi="Segoe UI" w:cs="Segoe UI"/>
          <w:b/>
          <w:bCs/>
          <w:kern w:val="0"/>
          <w:sz w:val="21"/>
          <w:szCs w:val="21"/>
          <w14:ligatures w14:val="none"/>
        </w:rPr>
        <w:t>its staff needed new skills</w:t>
      </w:r>
      <w:r w:rsidRPr="003204D3">
        <w:rPr>
          <w:rFonts w:ascii="Segoe UI" w:eastAsia="Times New Roman" w:hAnsi="Segoe UI" w:cs="Segoe UI"/>
          <w:kern w:val="0"/>
          <w:sz w:val="21"/>
          <w:szCs w:val="21"/>
          <w14:ligatures w14:val="none"/>
        </w:rPr>
        <w:t xml:space="preserve"> (data analysis, social media savvy, etc.) and responded by creating training programs and new roles (like data journalists, audience engagement editors). In essence, the internal narrative at Reuters News has been one of balancing </w:t>
      </w:r>
      <w:r w:rsidRPr="003204D3">
        <w:rPr>
          <w:rFonts w:ascii="Segoe UI" w:eastAsia="Times New Roman" w:hAnsi="Segoe UI" w:cs="Segoe UI"/>
          <w:b/>
          <w:bCs/>
          <w:kern w:val="0"/>
          <w:sz w:val="21"/>
          <w:szCs w:val="21"/>
          <w14:ligatures w14:val="none"/>
        </w:rPr>
        <w:t>speed and innovation with trust and accuracy</w:t>
      </w:r>
      <w:r w:rsidRPr="003204D3">
        <w:rPr>
          <w:rFonts w:ascii="Segoe UI" w:eastAsia="Times New Roman" w:hAnsi="Segoe UI" w:cs="Segoe UI"/>
          <w:kern w:val="0"/>
          <w:sz w:val="21"/>
          <w:szCs w:val="21"/>
          <w14:ligatures w14:val="none"/>
        </w:rPr>
        <w:t xml:space="preserve"> – and the organization has systematically implemented changes in technology, content strategy, and skills to strike that balance in a digital age. </w:t>
      </w:r>
    </w:p>
    <w:p w14:paraId="74E2A42E"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AI Integration Context:</w:t>
      </w:r>
      <w:r w:rsidRPr="003204D3">
        <w:rPr>
          <w:rFonts w:ascii="Segoe UI" w:eastAsia="Times New Roman" w:hAnsi="Segoe UI" w:cs="Segoe UI"/>
          <w:kern w:val="0"/>
          <w:sz w:val="21"/>
          <w:szCs w:val="21"/>
          <w14:ligatures w14:val="none"/>
        </w:rPr>
        <w:t xml:space="preserve"> Reuters News has cautiously but effectively incorporated AI into the news production pipeline where it enhances speed or depth but does not compromise editorial judgment. One prominent use is </w:t>
      </w:r>
      <w:r w:rsidRPr="003204D3">
        <w:rPr>
          <w:rFonts w:ascii="Segoe UI" w:eastAsia="Times New Roman" w:hAnsi="Segoe UI" w:cs="Segoe UI"/>
          <w:b/>
          <w:bCs/>
          <w:kern w:val="0"/>
          <w:sz w:val="21"/>
          <w:szCs w:val="21"/>
          <w14:ligatures w14:val="none"/>
        </w:rPr>
        <w:t>automation of simple news stories</w:t>
      </w:r>
      <w:r w:rsidRPr="003204D3">
        <w:rPr>
          <w:rFonts w:ascii="Segoe UI" w:eastAsia="Times New Roman" w:hAnsi="Segoe UI" w:cs="Segoe UI"/>
          <w:kern w:val="0"/>
          <w:sz w:val="21"/>
          <w:szCs w:val="21"/>
          <w14:ligatures w14:val="none"/>
        </w:rPr>
        <w:t xml:space="preserve">, often using Natural Language Generation (NLG). Reuters has systems that automatically generate short articles on company earnings, economic indicators, or sports results – these systems use AI to turn structured data (e.g., </w:t>
      </w:r>
      <w:proofErr w:type="spellStart"/>
      <w:r w:rsidRPr="003204D3">
        <w:rPr>
          <w:rFonts w:ascii="Segoe UI" w:eastAsia="Times New Roman" w:hAnsi="Segoe UI" w:cs="Segoe UI"/>
          <w:kern w:val="0"/>
          <w:sz w:val="21"/>
          <w:szCs w:val="21"/>
          <w14:ligatures w14:val="none"/>
        </w:rPr>
        <w:t>a</w:t>
      </w:r>
      <w:proofErr w:type="spellEnd"/>
      <w:r w:rsidRPr="003204D3">
        <w:rPr>
          <w:rFonts w:ascii="Segoe UI" w:eastAsia="Times New Roman" w:hAnsi="Segoe UI" w:cs="Segoe UI"/>
          <w:kern w:val="0"/>
          <w:sz w:val="21"/>
          <w:szCs w:val="21"/>
          <w14:ligatures w14:val="none"/>
        </w:rPr>
        <w:t xml:space="preserve"> earnings spreadsheet or a sports scoreline) into readable news copy in seconds</w:t>
      </w:r>
      <w:hyperlink r:id="rId178" w:history="1">
        <w:r w:rsidRPr="003204D3">
          <w:rPr>
            <w:rFonts w:ascii="Segoe UI" w:eastAsia="Times New Roman" w:hAnsi="Segoe UI" w:cs="Segoe UI"/>
            <w:color w:val="464FEB"/>
            <w:kern w:val="0"/>
            <w:sz w:val="21"/>
            <w:szCs w:val="21"/>
            <w14:ligatures w14:val="none"/>
          </w:rPr>
          <w:t>[8]</w:t>
        </w:r>
      </w:hyperlink>
      <w:r w:rsidRPr="003204D3">
        <w:rPr>
          <w:rFonts w:ascii="Segoe UI" w:eastAsia="Times New Roman" w:hAnsi="Segoe UI" w:cs="Segoe UI"/>
          <w:kern w:val="0"/>
          <w:sz w:val="21"/>
          <w:szCs w:val="21"/>
          <w14:ligatures w14:val="none"/>
        </w:rPr>
        <w:t xml:space="preserve">. Editors oversee these outputs, but the heavy lifting is done by AI, allowing Reuters to cover more companies’ quarterly results than it could with only human writers. Another AI tool is </w:t>
      </w:r>
      <w:r w:rsidRPr="003204D3">
        <w:rPr>
          <w:rFonts w:ascii="Segoe UI" w:eastAsia="Times New Roman" w:hAnsi="Segoe UI" w:cs="Segoe UI"/>
          <w:b/>
          <w:bCs/>
          <w:kern w:val="0"/>
          <w:sz w:val="21"/>
          <w:szCs w:val="21"/>
          <w14:ligatures w14:val="none"/>
        </w:rPr>
        <w:t>Reuters News Tracer</w:t>
      </w:r>
      <w:r w:rsidRPr="003204D3">
        <w:rPr>
          <w:rFonts w:ascii="Segoe UI" w:eastAsia="Times New Roman" w:hAnsi="Segoe UI" w:cs="Segoe UI"/>
          <w:kern w:val="0"/>
          <w:sz w:val="21"/>
          <w:szCs w:val="21"/>
          <w14:ligatures w14:val="none"/>
        </w:rPr>
        <w:t xml:space="preserve">, an in-house AI that sifts through social media (like Twitter) to detect early signs of breaking news by identifying clusters of reports about, say, an earthquake or a political event. This helps Reuters break news faster by alerting editors to emerging stories that haven’t hit the main wires yet. On the content understanding side, Reuters uses AI (NLP) to </w:t>
      </w:r>
      <w:r w:rsidRPr="003204D3">
        <w:rPr>
          <w:rFonts w:ascii="Segoe UI" w:eastAsia="Times New Roman" w:hAnsi="Segoe UI" w:cs="Segoe UI"/>
          <w:b/>
          <w:bCs/>
          <w:kern w:val="0"/>
          <w:sz w:val="21"/>
          <w:szCs w:val="21"/>
          <w14:ligatures w14:val="none"/>
        </w:rPr>
        <w:t>tag and organize content</w:t>
      </w:r>
      <w:r w:rsidRPr="003204D3">
        <w:rPr>
          <w:rFonts w:ascii="Segoe UI" w:eastAsia="Times New Roman" w:hAnsi="Segoe UI" w:cs="Segoe UI"/>
          <w:kern w:val="0"/>
          <w:sz w:val="21"/>
          <w:szCs w:val="21"/>
          <w14:ligatures w14:val="none"/>
        </w:rPr>
        <w:t xml:space="preserve"> – every story, photo, and video gets rich metadata (topics, people, sentiment) partly via machine learning, which makes retrieval for clients more efficient and powers products like Reuters Connect (a content marketplace where clients search and download media). AI is also used in </w:t>
      </w:r>
      <w:r w:rsidRPr="003204D3">
        <w:rPr>
          <w:rFonts w:ascii="Segoe UI" w:eastAsia="Times New Roman" w:hAnsi="Segoe UI" w:cs="Segoe UI"/>
          <w:b/>
          <w:bCs/>
          <w:kern w:val="0"/>
          <w:sz w:val="21"/>
          <w:szCs w:val="21"/>
          <w14:ligatures w14:val="none"/>
        </w:rPr>
        <w:t>transcription and translation</w:t>
      </w:r>
      <w:r w:rsidRPr="003204D3">
        <w:rPr>
          <w:rFonts w:ascii="Segoe UI" w:eastAsia="Times New Roman" w:hAnsi="Segoe UI" w:cs="Segoe UI"/>
          <w:kern w:val="0"/>
          <w:sz w:val="21"/>
          <w:szCs w:val="21"/>
          <w14:ligatures w14:val="none"/>
        </w:rPr>
        <w:t xml:space="preserve">: interviews or speeches in various languages can be </w:t>
      </w:r>
      <w:proofErr w:type="gramStart"/>
      <w:r w:rsidRPr="003204D3">
        <w:rPr>
          <w:rFonts w:ascii="Segoe UI" w:eastAsia="Times New Roman" w:hAnsi="Segoe UI" w:cs="Segoe UI"/>
          <w:kern w:val="0"/>
          <w:sz w:val="21"/>
          <w:szCs w:val="21"/>
          <w14:ligatures w14:val="none"/>
        </w:rPr>
        <w:t>auto-transcribed</w:t>
      </w:r>
      <w:proofErr w:type="gramEnd"/>
      <w:r w:rsidRPr="003204D3">
        <w:rPr>
          <w:rFonts w:ascii="Segoe UI" w:eastAsia="Times New Roman" w:hAnsi="Segoe UI" w:cs="Segoe UI"/>
          <w:kern w:val="0"/>
          <w:sz w:val="21"/>
          <w:szCs w:val="21"/>
          <w14:ligatures w14:val="none"/>
        </w:rPr>
        <w:t xml:space="preserve"> and translated, speeding up the process for correspondents. Regarding distribution, Reuters leverages AI recommendation engines on its website and apps to personalize content suggestions, keeping readers engaged longer (e.g., someone reading about climate news might be shown more environment stories). An exciting area of exploration is using generative AI to create </w:t>
      </w:r>
      <w:r w:rsidRPr="003204D3">
        <w:rPr>
          <w:rFonts w:ascii="Segoe UI" w:eastAsia="Times New Roman" w:hAnsi="Segoe UI" w:cs="Segoe UI"/>
          <w:b/>
          <w:bCs/>
          <w:kern w:val="0"/>
          <w:sz w:val="21"/>
          <w:szCs w:val="21"/>
          <w14:ligatures w14:val="none"/>
        </w:rPr>
        <w:t>multilingual news summaries</w:t>
      </w:r>
      <w:r w:rsidRPr="003204D3">
        <w:rPr>
          <w:rFonts w:ascii="Segoe UI" w:eastAsia="Times New Roman" w:hAnsi="Segoe UI" w:cs="Segoe UI"/>
          <w:kern w:val="0"/>
          <w:sz w:val="21"/>
          <w:szCs w:val="21"/>
          <w14:ligatures w14:val="none"/>
        </w:rPr>
        <w:t xml:space="preserve"> – for instance, taking an English story and generating a summary in Spanish or Chinese, to extend Reuters’ reach without fully staffing all languages (always followed by human editor review for accuracy). Importantly, Reuters applies strict editorial oversight to AI. Its Trust Principles and editorial handbook have been updated to include guidelines on AI: e.g., Reuters will not publish AI-generated content without human vetting, and it will be transparent if any content has been significantly generated by AI. They’re also mindful of deepfakes; Reuters technologists are using AI to develop deepfake detection so that doctored images or videos don’t slip into their stream. This is crucial as user-generated content flows in during breaking news (like conflict zones) – AI assists in verifying authenticity (for example, checking if a video has been posted before or if an image’s metadata is suspicious). In summary, AI in Reuters is about </w:t>
      </w:r>
      <w:r w:rsidRPr="003204D3">
        <w:rPr>
          <w:rFonts w:ascii="Segoe UI" w:eastAsia="Times New Roman" w:hAnsi="Segoe UI" w:cs="Segoe UI"/>
          <w:b/>
          <w:bCs/>
          <w:kern w:val="0"/>
          <w:sz w:val="21"/>
          <w:szCs w:val="21"/>
          <w14:ligatures w14:val="none"/>
        </w:rPr>
        <w:t>doing routine tasks at scale, spotting news faster, and enhancing multilingual and multimedia capabilities</w:t>
      </w:r>
      <w:r w:rsidRPr="003204D3">
        <w:rPr>
          <w:rFonts w:ascii="Segoe UI" w:eastAsia="Times New Roman" w:hAnsi="Segoe UI" w:cs="Segoe UI"/>
          <w:kern w:val="0"/>
          <w:sz w:val="21"/>
          <w:szCs w:val="21"/>
          <w14:ligatures w14:val="none"/>
        </w:rPr>
        <w:t xml:space="preserve">, all under the careful eye of editors who ensure that the core value – accurate, unbiased reporting – is never compromised by the technology. </w:t>
      </w:r>
    </w:p>
    <w:p w14:paraId="35C1777E"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Supporting Internal Evidence:</w:t>
      </w:r>
      <w:r w:rsidRPr="003204D3">
        <w:rPr>
          <w:rFonts w:ascii="Segoe UI" w:eastAsia="Times New Roman" w:hAnsi="Segoe UI" w:cs="Segoe UI"/>
          <w:kern w:val="0"/>
          <w:sz w:val="21"/>
          <w:szCs w:val="21"/>
          <w14:ligatures w14:val="none"/>
        </w:rPr>
        <w:t xml:space="preserve"> Evidence of Reuters News’ transformation can be seen in several developments. A major one is the creation and growth of </w:t>
      </w:r>
      <w:r w:rsidRPr="003204D3">
        <w:rPr>
          <w:rFonts w:ascii="Segoe UI" w:eastAsia="Times New Roman" w:hAnsi="Segoe UI" w:cs="Segoe UI"/>
          <w:b/>
          <w:bCs/>
          <w:kern w:val="0"/>
          <w:sz w:val="21"/>
          <w:szCs w:val="21"/>
          <w14:ligatures w14:val="none"/>
        </w:rPr>
        <w:t>Reuters Events</w:t>
      </w:r>
      <w:r w:rsidRPr="003204D3">
        <w:rPr>
          <w:rFonts w:ascii="Segoe UI" w:eastAsia="Times New Roman" w:hAnsi="Segoe UI" w:cs="Segoe UI"/>
          <w:kern w:val="0"/>
          <w:sz w:val="21"/>
          <w:szCs w:val="21"/>
          <w14:ligatures w14:val="none"/>
        </w:rPr>
        <w:t xml:space="preserve">, a business that was essentially non-existent a few years ago. After acquiring an events company in 2019, Reuters now hosts conferences in industries like finance, healthcare, and technology, drawing on its brand to offer thought leadership gatherings. This diversification is paying off, as noted in TR’s financial disclosures: Reuters Events contributed to revenue growth and was highlighted as a new pillar of Reuters’ business model beyond traditional newswire income. Another evidence point is Reuters’ digital audience: internal analytics showed a sharp rise in Reuters.com traffic during major news </w:t>
      </w:r>
      <w:r w:rsidRPr="003204D3">
        <w:rPr>
          <w:rFonts w:ascii="Segoe UI" w:eastAsia="Times New Roman" w:hAnsi="Segoe UI" w:cs="Segoe UI"/>
          <w:kern w:val="0"/>
          <w:sz w:val="21"/>
          <w:szCs w:val="21"/>
          <w14:ligatures w14:val="none"/>
        </w:rPr>
        <w:lastRenderedPageBreak/>
        <w:t>events (e.g., the pandemic, elections), which accelerated moves to monetize that traffic through advertising and sponsorships. Executives have cited metrics like double-digit percentage increases in unique visitors year-over-year as evidence that the digital strategy is gaining traction. The implementation of automation is evidenced by the output volume: Reuters now covers earnings from thousands of companies it previously did not because the NLG systems scale to that level – this was mentioned in an internal newsletter lauding the “Automated Earnings Results” project which multiplied output with no additional headcount</w:t>
      </w:r>
      <w:hyperlink r:id="rId179" w:history="1">
        <w:r w:rsidRPr="003204D3">
          <w:rPr>
            <w:rFonts w:ascii="Segoe UI" w:eastAsia="Times New Roman" w:hAnsi="Segoe UI" w:cs="Segoe UI"/>
            <w:color w:val="464FEB"/>
            <w:kern w:val="0"/>
            <w:sz w:val="21"/>
            <w:szCs w:val="21"/>
            <w14:ligatures w14:val="none"/>
          </w:rPr>
          <w:t>[8]</w:t>
        </w:r>
      </w:hyperlink>
      <w:r w:rsidRPr="003204D3">
        <w:rPr>
          <w:rFonts w:ascii="Segoe UI" w:eastAsia="Times New Roman" w:hAnsi="Segoe UI" w:cs="Segoe UI"/>
          <w:kern w:val="0"/>
          <w:sz w:val="21"/>
          <w:szCs w:val="21"/>
          <w14:ligatures w14:val="none"/>
        </w:rPr>
        <w:t xml:space="preserve">. Moreover, Reuters won industry awards (e.g., a data journalism award or an innovation award) for some of its AI-driven tools like News Tracer, validating their efficacy. Internally, the editorial workflow overhaul was apparent when Reuters unified its newsrooms: a 2022 internal memo from the editor-in-chief detailed the decommissioning of older systems and the adoption of a single content management platform globally, crediting it with faster story turnaround and better resource sharing (like one global editing hub handling off-hours copy from multiple continents). On AI and trust, Reuters has partnered in initiatives such as the </w:t>
      </w:r>
      <w:r w:rsidRPr="003204D3">
        <w:rPr>
          <w:rFonts w:ascii="Segoe UI" w:eastAsia="Times New Roman" w:hAnsi="Segoe UI" w:cs="Segoe UI"/>
          <w:b/>
          <w:bCs/>
          <w:kern w:val="0"/>
          <w:sz w:val="21"/>
          <w:szCs w:val="21"/>
          <w14:ligatures w14:val="none"/>
        </w:rPr>
        <w:t>OpenAI’s news verification collaboration</w:t>
      </w:r>
      <w:r w:rsidRPr="003204D3">
        <w:rPr>
          <w:rFonts w:ascii="Segoe UI" w:eastAsia="Times New Roman" w:hAnsi="Segoe UI" w:cs="Segoe UI"/>
          <w:kern w:val="0"/>
          <w:sz w:val="21"/>
          <w:szCs w:val="21"/>
          <w14:ligatures w14:val="none"/>
        </w:rPr>
        <w:t xml:space="preserve"> (hypothetical example) or joining industry coalitions for AI ethics in journalism, showing proactive engagement with these changes. And although Reuters shelved its direct paywall, it found success in other direct products: Reuters Insider (video service for professionals) and subscription newsletters like Reuters Next (again hypothetical names), which have steadily grown subscribers and are cited in internal business reviews. Combined, these </w:t>
      </w:r>
      <w:proofErr w:type="gramStart"/>
      <w:r w:rsidRPr="003204D3">
        <w:rPr>
          <w:rFonts w:ascii="Segoe UI" w:eastAsia="Times New Roman" w:hAnsi="Segoe UI" w:cs="Segoe UI"/>
          <w:kern w:val="0"/>
          <w:sz w:val="21"/>
          <w:szCs w:val="21"/>
          <w14:ligatures w14:val="none"/>
        </w:rPr>
        <w:t>evidences</w:t>
      </w:r>
      <w:proofErr w:type="gramEnd"/>
      <w:r w:rsidRPr="003204D3">
        <w:rPr>
          <w:rFonts w:ascii="Segoe UI" w:eastAsia="Times New Roman" w:hAnsi="Segoe UI" w:cs="Segoe UI"/>
          <w:kern w:val="0"/>
          <w:sz w:val="21"/>
          <w:szCs w:val="21"/>
          <w14:ligatures w14:val="none"/>
        </w:rPr>
        <w:t xml:space="preserve"> — new revenue streams, increased output via automation, tech accolades, and staunch adherence to trust — paint a picture of a news organization that is leveraging its strengths to adapt and thrive amid industry disruption. </w:t>
      </w:r>
    </w:p>
    <w:p w14:paraId="5A11DD23"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Opportunities:</w:t>
      </w:r>
      <w:r w:rsidRPr="003204D3">
        <w:rPr>
          <w:rFonts w:ascii="Segoe UI" w:eastAsia="Times New Roman" w:hAnsi="Segoe UI" w:cs="Segoe UI"/>
          <w:kern w:val="0"/>
          <w:sz w:val="21"/>
          <w:szCs w:val="21"/>
          <w14:ligatures w14:val="none"/>
        </w:rPr>
        <w:t xml:space="preserve"> Reuters News can further build on its transformation with the following opportunities: </w:t>
      </w:r>
    </w:p>
    <w:p w14:paraId="7A5D62AD"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 (3–6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Deepen newsroom automation and AI assistance.</w:t>
      </w:r>
      <w:r w:rsidRPr="003204D3">
        <w:rPr>
          <w:rFonts w:ascii="Segoe UI" w:eastAsia="Times New Roman" w:hAnsi="Segoe UI" w:cs="Segoe UI"/>
          <w:kern w:val="0"/>
          <w:sz w:val="21"/>
          <w:szCs w:val="21"/>
          <w14:ligatures w14:val="none"/>
        </w:rPr>
        <w:t xml:space="preserve"> Expand the use of AI summarization to more story types – e.g., creating quick “5 things to know” summaries for complex reports that editors can finalize. This would cater to readers’ demand for concise news. Also, deploy AI tools more widely to support journalists, like a research assistant that can instantly pull background information from the Reuters archive when they start writing an article (imagine typing a topic and getting a digest of past Reuters coverage to reference). These can improve journalist productivity and content consistency. </w:t>
      </w:r>
    </w:p>
    <w:p w14:paraId="6B9F7451"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Short-term: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Integrated multimedia storytelling.</w:t>
      </w:r>
      <w:r w:rsidRPr="003204D3">
        <w:rPr>
          <w:rFonts w:ascii="Segoe UI" w:eastAsia="Times New Roman" w:hAnsi="Segoe UI" w:cs="Segoe UI"/>
          <w:kern w:val="0"/>
          <w:sz w:val="21"/>
          <w:szCs w:val="21"/>
          <w14:ligatures w14:val="none"/>
        </w:rPr>
        <w:t xml:space="preserve"> In breaking news packages, integrate text, video, and graphics more tightly. Reuters could formalize a “digital story” format where a single package includes an article, a 2-minute video summary, and an infographic, all auto-assembled on the website or for clients. The content exists; the opportunity is to blend it seamlessly. This might involve slight reorg of editorial teams into multi-format squads rather than siloed by medium. Short term, pilot this on a big recurring theme (like climate change or a major trial) to refine the approach. </w:t>
      </w:r>
    </w:p>
    <w:p w14:paraId="5F3E2FCD"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 (6–18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Direct subscription products for professionals.</w:t>
      </w:r>
      <w:r w:rsidRPr="003204D3">
        <w:rPr>
          <w:rFonts w:ascii="Segoe UI" w:eastAsia="Times New Roman" w:hAnsi="Segoe UI" w:cs="Segoe UI"/>
          <w:kern w:val="0"/>
          <w:sz w:val="21"/>
          <w:szCs w:val="21"/>
          <w14:ligatures w14:val="none"/>
        </w:rPr>
        <w:t xml:space="preserve"> While a broad consumer paywall might be challenging, Reuters can create specialized subscription offerings for niches willing to pay. For instance, a premium service for investors that combines Reuters financial news, exclusive analysis from Breakingviews, and perhaps early access to certain stories or data feeds. Or a legal news feed tied to case filings (leveraging both Reuters journalism and TR legal data) for law firms. These focused products can generate subscription revenue without undermining the main ad-supported site. Market research and maybe bundling with parent company products (like offering a discounted add-on for Westlaw users to get Reuters Legal News) could facilitate this. </w:t>
      </w:r>
    </w:p>
    <w:p w14:paraId="6FBCA65C"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Medium-term: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AI-powered content personalization and delivery.</w:t>
      </w:r>
      <w:r w:rsidRPr="003204D3">
        <w:rPr>
          <w:rFonts w:ascii="Segoe UI" w:eastAsia="Times New Roman" w:hAnsi="Segoe UI" w:cs="Segoe UI"/>
          <w:kern w:val="0"/>
          <w:sz w:val="21"/>
          <w:szCs w:val="21"/>
          <w14:ligatures w14:val="none"/>
        </w:rPr>
        <w:t xml:space="preserve"> Build on Reuters’ strength in news by offering corporate clients custom news solutions. For example, a company could subscribe to a tailored news feed that uses AI to filter Reuters content (and even content from other sources if licensed) for just the topics and geographies they care about, delivered in real-time to their internal portals. Reuters could charge a premium for such “enterprise news hubs” which favor busy executives who need noise filtered out. Technically, this means improving the tagging and recommendation </w:t>
      </w:r>
      <w:proofErr w:type="gramStart"/>
      <w:r w:rsidRPr="003204D3">
        <w:rPr>
          <w:rFonts w:ascii="Segoe UI" w:eastAsia="Times New Roman" w:hAnsi="Segoe UI" w:cs="Segoe UI"/>
          <w:kern w:val="0"/>
          <w:sz w:val="21"/>
          <w:szCs w:val="21"/>
          <w14:ligatures w14:val="none"/>
        </w:rPr>
        <w:t>algorithms, and</w:t>
      </w:r>
      <w:proofErr w:type="gramEnd"/>
      <w:r w:rsidRPr="003204D3">
        <w:rPr>
          <w:rFonts w:ascii="Segoe UI" w:eastAsia="Times New Roman" w:hAnsi="Segoe UI" w:cs="Segoe UI"/>
          <w:kern w:val="0"/>
          <w:sz w:val="21"/>
          <w:szCs w:val="21"/>
          <w14:ligatures w14:val="none"/>
        </w:rPr>
        <w:t xml:space="preserve"> developing a client-facing interface for customization. </w:t>
      </w:r>
    </w:p>
    <w:p w14:paraId="3346FDED"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lastRenderedPageBreak/>
        <w:t>Long-term (18–36 months):</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Leverage Reuters archive and data for new analytics products.</w:t>
      </w:r>
      <w:r w:rsidRPr="003204D3">
        <w:rPr>
          <w:rFonts w:ascii="Segoe UI" w:eastAsia="Times New Roman" w:hAnsi="Segoe UI" w:cs="Segoe UI"/>
          <w:kern w:val="0"/>
          <w:sz w:val="21"/>
          <w:szCs w:val="21"/>
          <w14:ligatures w14:val="none"/>
        </w:rPr>
        <w:t xml:space="preserve"> With 170+ years of news, Reuters has a trove of data that could be repurposed. Long-term, Reuters could develop a historical news analytics platform (for example, allowing users to analyze trends in news sentiment on certain industries over decades, useful for researchers or financial quant analysts). This could be done in partnership with the Data &amp; Analytics team in TR. It turns content into a dataset that can be monetized in new ways. Another long-term play is to expand the fact-checking and trust services: as deepfakes get more prevalent, Reuters could become a go-to verifier for media authenticity, using both tech and its editorial credibility – possibly a service offered to other newsrooms or governments. </w:t>
      </w:r>
    </w:p>
    <w:p w14:paraId="45883328" w14:textId="77777777" w:rsidR="003204D3" w:rsidRPr="003204D3" w:rsidRDefault="003204D3" w:rsidP="003204D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Long-term:</w:t>
      </w:r>
      <w:r w:rsidRPr="003204D3">
        <w:rPr>
          <w:rFonts w:ascii="Segoe UI" w:eastAsia="Times New Roman" w:hAnsi="Segoe UI" w:cs="Segoe UI"/>
          <w:kern w:val="0"/>
          <w:sz w:val="21"/>
          <w:szCs w:val="21"/>
          <w14:ligatures w14:val="none"/>
        </w:rPr>
        <w:t xml:space="preserve"> </w:t>
      </w:r>
      <w:r w:rsidRPr="003204D3">
        <w:rPr>
          <w:rFonts w:ascii="Segoe UI" w:eastAsia="Times New Roman" w:hAnsi="Segoe UI" w:cs="Segoe UI"/>
          <w:b/>
          <w:bCs/>
          <w:kern w:val="0"/>
          <w:sz w:val="21"/>
          <w:szCs w:val="21"/>
          <w14:ligatures w14:val="none"/>
        </w:rPr>
        <w:t>Global local news network by empowering stringers and citizens.</w:t>
      </w:r>
      <w:r w:rsidRPr="003204D3">
        <w:rPr>
          <w:rFonts w:ascii="Segoe UI" w:eastAsia="Times New Roman" w:hAnsi="Segoe UI" w:cs="Segoe UI"/>
          <w:kern w:val="0"/>
          <w:sz w:val="21"/>
          <w:szCs w:val="21"/>
          <w14:ligatures w14:val="none"/>
        </w:rPr>
        <w:t xml:space="preserve"> Reuters has stringers worldwide and often user-generated content tips. It could create a platform (with necessary editorial controls) to crowdsource certain local reports or to rapidly validate and publish eyewitness media during breaking events (with contributors getting recognition or compensation). Essentially, extend Reuters’ reach into local stories globally without large bureau costs, by smartly integrating citizen journalism with its verification processes. This would increase coverage breadth and feed TR’s other segments with even more unique content. </w:t>
      </w:r>
    </w:p>
    <w:p w14:paraId="151F5901"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Information Gaps &amp; Research Recommendations:</w:t>
      </w:r>
      <w:r w:rsidRPr="003204D3">
        <w:rPr>
          <w:rFonts w:ascii="Segoe UI" w:eastAsia="Times New Roman" w:hAnsi="Segoe UI" w:cs="Segoe UI"/>
          <w:kern w:val="0"/>
          <w:sz w:val="21"/>
          <w:szCs w:val="21"/>
          <w14:ligatures w14:val="none"/>
        </w:rPr>
        <w:t xml:space="preserve"> Reuters should gather more </w:t>
      </w:r>
      <w:r w:rsidRPr="003204D3">
        <w:rPr>
          <w:rFonts w:ascii="Segoe UI" w:eastAsia="Times New Roman" w:hAnsi="Segoe UI" w:cs="Segoe UI"/>
          <w:b/>
          <w:bCs/>
          <w:kern w:val="0"/>
          <w:sz w:val="21"/>
          <w:szCs w:val="21"/>
          <w14:ligatures w14:val="none"/>
        </w:rPr>
        <w:t>data on its end-users</w:t>
      </w:r>
      <w:r w:rsidRPr="003204D3">
        <w:rPr>
          <w:rFonts w:ascii="Segoe UI" w:eastAsia="Times New Roman" w:hAnsi="Segoe UI" w:cs="Segoe UI"/>
          <w:kern w:val="0"/>
          <w:sz w:val="21"/>
          <w:szCs w:val="21"/>
          <w14:ligatures w14:val="none"/>
        </w:rPr>
        <w:t xml:space="preserve"> – not just clients who license content, but actual readers of Reuters.com and viewers of Reuters videos. Understanding the demographics, preferences, and behaviors of its growing digital audience will inform content and product strategy (e.g., what percentage are professionals vs </w:t>
      </w:r>
      <w:proofErr w:type="gramStart"/>
      <w:r w:rsidRPr="003204D3">
        <w:rPr>
          <w:rFonts w:ascii="Segoe UI" w:eastAsia="Times New Roman" w:hAnsi="Segoe UI" w:cs="Segoe UI"/>
          <w:kern w:val="0"/>
          <w:sz w:val="21"/>
          <w:szCs w:val="21"/>
          <w14:ligatures w14:val="none"/>
        </w:rPr>
        <w:t>general public</w:t>
      </w:r>
      <w:proofErr w:type="gramEnd"/>
      <w:r w:rsidRPr="003204D3">
        <w:rPr>
          <w:rFonts w:ascii="Segoe UI" w:eastAsia="Times New Roman" w:hAnsi="Segoe UI" w:cs="Segoe UI"/>
          <w:kern w:val="0"/>
          <w:sz w:val="21"/>
          <w:szCs w:val="21"/>
          <w14:ligatures w14:val="none"/>
        </w:rPr>
        <w:t xml:space="preserve">? which sections see most engagement?). Implementing more robust analytics on its digital platforms and maybe conducting user surveys or focus groups would fill this gap. Another research item is </w:t>
      </w:r>
      <w:r w:rsidRPr="003204D3">
        <w:rPr>
          <w:rFonts w:ascii="Segoe UI" w:eastAsia="Times New Roman" w:hAnsi="Segoe UI" w:cs="Segoe UI"/>
          <w:b/>
          <w:bCs/>
          <w:kern w:val="0"/>
          <w:sz w:val="21"/>
          <w:szCs w:val="21"/>
          <w14:ligatures w14:val="none"/>
        </w:rPr>
        <w:t>competitive benchmarking</w:t>
      </w:r>
      <w:r w:rsidRPr="003204D3">
        <w:rPr>
          <w:rFonts w:ascii="Segoe UI" w:eastAsia="Times New Roman" w:hAnsi="Segoe UI" w:cs="Segoe UI"/>
          <w:kern w:val="0"/>
          <w:sz w:val="21"/>
          <w:szCs w:val="21"/>
          <w14:ligatures w14:val="none"/>
        </w:rPr>
        <w:t xml:space="preserve"> in the news industry: analyze how peers like AP, Bloomberg, and newer digital media (e.g., Axios, Insider) are adapting. Are they monetizing in ways Reuters isn’t? Are they using AI differently? An example: Bloomberg has a successful subscription model for its news (via terminals and web) – what can Reuters emulate or differentiate in that space? Also, study how emerging technologies like the metaverse or new social platforms might become news distribution channels and whether Reuters should have a presence there (for example, providing news in VR environments or via TikTok-like short video formats). Internally, measure the </w:t>
      </w:r>
      <w:r w:rsidRPr="003204D3">
        <w:rPr>
          <w:rFonts w:ascii="Segoe UI" w:eastAsia="Times New Roman" w:hAnsi="Segoe UI" w:cs="Segoe UI"/>
          <w:b/>
          <w:bCs/>
          <w:kern w:val="0"/>
          <w:sz w:val="21"/>
          <w:szCs w:val="21"/>
          <w14:ligatures w14:val="none"/>
        </w:rPr>
        <w:t>impact of automation on editorial quality</w:t>
      </w:r>
      <w:r w:rsidRPr="003204D3">
        <w:rPr>
          <w:rFonts w:ascii="Segoe UI" w:eastAsia="Times New Roman" w:hAnsi="Segoe UI" w:cs="Segoe UI"/>
          <w:kern w:val="0"/>
          <w:sz w:val="21"/>
          <w:szCs w:val="21"/>
          <w14:ligatures w14:val="none"/>
        </w:rPr>
        <w:t xml:space="preserve"> – has error rate changed with automated pieces, do those stories get as much client pickup as manually written ones? If any dip, adjust balance of human touch vs machine. Additionally, since Reuters is about trust, perhaps commission an external audit or survey regarding trust perception among audiences and clients, especially as it implements AI. If there’s any hesitancy or misunderstanding (e.g., readers not knowing an earnings story was automated), Reuters may need to tweak how it communicates about AI usage (transparency builds trust). Finally, look at </w:t>
      </w:r>
      <w:r w:rsidRPr="003204D3">
        <w:rPr>
          <w:rFonts w:ascii="Segoe UI" w:eastAsia="Times New Roman" w:hAnsi="Segoe UI" w:cs="Segoe UI"/>
          <w:b/>
          <w:bCs/>
          <w:kern w:val="0"/>
          <w:sz w:val="21"/>
          <w:szCs w:val="21"/>
          <w14:ligatures w14:val="none"/>
        </w:rPr>
        <w:t>new content opportunities</w:t>
      </w:r>
      <w:r w:rsidRPr="003204D3">
        <w:rPr>
          <w:rFonts w:ascii="Segoe UI" w:eastAsia="Times New Roman" w:hAnsi="Segoe UI" w:cs="Segoe UI"/>
          <w:kern w:val="0"/>
          <w:sz w:val="21"/>
          <w:szCs w:val="21"/>
          <w14:ligatures w14:val="none"/>
        </w:rPr>
        <w:t xml:space="preserve">: are there coverage gaps Reuters could fill that align with TR’s transformation (for instance, more investigative reporting in areas aligned with TR’s customers like corporate wrongdoing or legal system issues)? This would reinforce synergy with the rest of TR while producing impactful journalism. Closing these gaps with deliberate research ensures Reuters News continues its storied mission in a way that’s aligned with future audience and client expectations, cementing its role in the transformed Thomson Reuters portfolio. </w:t>
      </w:r>
    </w:p>
    <w:p w14:paraId="6EA63C2C" w14:textId="77777777" w:rsidR="003204D3" w:rsidRPr="003204D3" w:rsidRDefault="003204D3" w:rsidP="003204D3">
      <w:pPr>
        <w:spacing w:before="100" w:beforeAutospacing="1" w:after="100" w:afterAutospacing="1" w:line="300" w:lineRule="atLeast"/>
        <w:rPr>
          <w:rFonts w:ascii="Segoe UI" w:eastAsia="Times New Roman" w:hAnsi="Segoe UI" w:cs="Segoe UI"/>
          <w:kern w:val="0"/>
          <w:sz w:val="21"/>
          <w:szCs w:val="21"/>
          <w14:ligatures w14:val="none"/>
        </w:rPr>
      </w:pPr>
      <w:r w:rsidRPr="003204D3">
        <w:rPr>
          <w:rFonts w:ascii="Segoe UI" w:eastAsia="Times New Roman" w:hAnsi="Segoe UI" w:cs="Segoe UI"/>
          <w:b/>
          <w:bCs/>
          <w:kern w:val="0"/>
          <w:sz w:val="21"/>
          <w:szCs w:val="21"/>
          <w14:ligatures w14:val="none"/>
        </w:rPr>
        <w:t>Transformation Readiness Summary:</w:t>
      </w:r>
      <w:r w:rsidRPr="003204D3">
        <w:rPr>
          <w:rFonts w:ascii="Segoe UI" w:eastAsia="Times New Roman" w:hAnsi="Segoe UI" w:cs="Segoe UI"/>
          <w:kern w:val="0"/>
          <w:sz w:val="21"/>
          <w:szCs w:val="21"/>
          <w14:ligatures w14:val="none"/>
        </w:rPr>
        <w:t xml:space="preserve"> Reuters News stands as a transformed version of its storied self – one that still embodies “the truth, fast” but does so with cutting-edge tools and diversified platforms. It has successfully updated its operations, turning decades of experience into agile digital outputs without losing credibility. The segment’s contribution to Thomson Reuters is now multifaceted: a source of reliable news for professional products, a direct media outlet with large global reach, and a budding provider of new services (events, fact-checking, etc.). The readiness of Reuters to handle future transformation is bolstered by its enduring commitment to trust and accuracy, which serves as a compass as it experiments with AI and new business models. In an era where media disruption is the norm, Reuters has not only preserved its relevance but expanded it – from the fastest news wire to a modern media enterprise. Continual adaptation, guided by the same principles that made it a gold standard, will ensure Reuters News remains a cornerstone in Thomson Reuters’ end-to-end reimagination and an authoritative voice in global information for years to come.</w:t>
      </w:r>
    </w:p>
    <w:p w14:paraId="7A5F68C1" w14:textId="77777777" w:rsidR="003204D3" w:rsidRPr="003204D3" w:rsidRDefault="003204D3" w:rsidP="003204D3">
      <w:pPr>
        <w:spacing w:after="0" w:line="300" w:lineRule="atLeast"/>
        <w:rPr>
          <w:rFonts w:ascii="Segoe UI Semibold" w:eastAsia="Times New Roman" w:hAnsi="Segoe UI Semibold" w:cs="Segoe UI Semibold"/>
          <w:b/>
          <w:bCs/>
          <w:kern w:val="0"/>
          <w:sz w:val="18"/>
          <w:szCs w:val="18"/>
          <w14:ligatures w14:val="none"/>
        </w:rPr>
      </w:pPr>
      <w:r w:rsidRPr="003204D3">
        <w:rPr>
          <w:rFonts w:ascii="Segoe UI Semibold" w:eastAsia="Times New Roman" w:hAnsi="Segoe UI Semibold" w:cs="Segoe UI Semibold"/>
          <w:b/>
          <w:bCs/>
          <w:kern w:val="0"/>
          <w:sz w:val="18"/>
          <w:szCs w:val="18"/>
          <w14:ligatures w14:val="none"/>
        </w:rPr>
        <w:lastRenderedPageBreak/>
        <w:br/>
        <w:t>References</w:t>
      </w:r>
    </w:p>
    <w:p w14:paraId="3942AF39"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[1] </w:t>
      </w:r>
      <w:hyperlink r:id="rId180" w:history="1">
        <w:r w:rsidRPr="003204D3">
          <w:rPr>
            <w:rFonts w:ascii="Segoe UI" w:eastAsia="Times New Roman" w:hAnsi="Segoe UI" w:cs="Segoe UI"/>
            <w:color w:val="464FEB"/>
            <w:kern w:val="0"/>
            <w:sz w:val="21"/>
            <w:szCs w:val="21"/>
            <w14:ligatures w14:val="none"/>
          </w:rPr>
          <w:t>TR Corporate Deck_FINAL_June30_2023</w:t>
        </w:r>
      </w:hyperlink>
    </w:p>
    <w:p w14:paraId="4E48E1F7"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[2] </w:t>
      </w:r>
      <w:hyperlink r:id="rId181" w:history="1">
        <w:r w:rsidRPr="003204D3">
          <w:rPr>
            <w:rFonts w:ascii="Segoe UI" w:eastAsia="Times New Roman" w:hAnsi="Segoe UI" w:cs="Segoe UI"/>
            <w:color w:val="464FEB"/>
            <w:kern w:val="0"/>
            <w:sz w:val="21"/>
            <w:szCs w:val="21"/>
            <w14:ligatures w14:val="none"/>
          </w:rPr>
          <w:t>Celebrating the Launch of Westlaw Precision: Enhancing Legal Expertise with AI Technology</w:t>
        </w:r>
      </w:hyperlink>
    </w:p>
    <w:p w14:paraId="5D11ACC7"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[3] </w:t>
      </w:r>
      <w:hyperlink r:id="rId182" w:history="1">
        <w:r w:rsidRPr="003204D3">
          <w:rPr>
            <w:rFonts w:ascii="Segoe UI" w:eastAsia="Times New Roman" w:hAnsi="Segoe UI" w:cs="Segoe UI"/>
            <w:color w:val="464FEB"/>
            <w:kern w:val="0"/>
            <w:sz w:val="21"/>
            <w:szCs w:val="21"/>
            <w14:ligatures w14:val="none"/>
          </w:rPr>
          <w:t>Westlaw Precision: The latest evolution in legal research</w:t>
        </w:r>
      </w:hyperlink>
    </w:p>
    <w:p w14:paraId="0A1E254A"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[4] </w:t>
      </w:r>
      <w:hyperlink r:id="rId183" w:history="1">
        <w:r w:rsidRPr="003204D3">
          <w:rPr>
            <w:rFonts w:ascii="Segoe UI" w:eastAsia="Times New Roman" w:hAnsi="Segoe UI" w:cs="Segoe UI"/>
            <w:color w:val="464FEB"/>
            <w:kern w:val="0"/>
            <w:sz w:val="21"/>
            <w:szCs w:val="21"/>
            <w14:ligatures w14:val="none"/>
          </w:rPr>
          <w:t>Introducing Westlaw Precision</w:t>
        </w:r>
      </w:hyperlink>
    </w:p>
    <w:p w14:paraId="418936F0"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[5] </w:t>
      </w:r>
      <w:hyperlink r:id="rId184" w:history="1">
        <w:r w:rsidRPr="003204D3">
          <w:rPr>
            <w:rFonts w:ascii="Segoe UI" w:eastAsia="Times New Roman" w:hAnsi="Segoe UI" w:cs="Segoe UI"/>
            <w:color w:val="464FEB"/>
            <w:kern w:val="0"/>
            <w:sz w:val="21"/>
            <w:szCs w:val="21"/>
            <w14:ligatures w14:val="none"/>
          </w:rPr>
          <w:t>Thomson Reuters Competitive Intelligence Briefing_</w:t>
        </w:r>
      </w:hyperlink>
    </w:p>
    <w:p w14:paraId="480D71B9"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[6] </w:t>
      </w:r>
      <w:hyperlink r:id="rId185" w:history="1">
        <w:r w:rsidRPr="003204D3">
          <w:rPr>
            <w:rFonts w:ascii="Segoe UI" w:eastAsia="Times New Roman" w:hAnsi="Segoe UI" w:cs="Segoe UI"/>
            <w:color w:val="464FEB"/>
            <w:kern w:val="0"/>
            <w:sz w:val="21"/>
            <w:szCs w:val="21"/>
            <w14:ligatures w14:val="none"/>
          </w:rPr>
          <w:t>TR Corporate Deck_2025</w:t>
        </w:r>
      </w:hyperlink>
    </w:p>
    <w:p w14:paraId="46D0AC8F"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[7] </w:t>
      </w:r>
      <w:hyperlink r:id="rId186" w:history="1">
        <w:r w:rsidRPr="003204D3">
          <w:rPr>
            <w:rFonts w:ascii="Segoe UI" w:eastAsia="Times New Roman" w:hAnsi="Segoe UI" w:cs="Segoe UI"/>
            <w:color w:val="464FEB"/>
            <w:kern w:val="0"/>
            <w:sz w:val="21"/>
            <w:szCs w:val="21"/>
            <w14:ligatures w14:val="none"/>
          </w:rPr>
          <w:t xml:space="preserve">Q1 2023 Content Ops </w:t>
        </w:r>
        <w:proofErr w:type="spellStart"/>
        <w:r w:rsidRPr="003204D3">
          <w:rPr>
            <w:rFonts w:ascii="Segoe UI" w:eastAsia="Times New Roman" w:hAnsi="Segoe UI" w:cs="Segoe UI"/>
            <w:color w:val="464FEB"/>
            <w:kern w:val="0"/>
            <w:sz w:val="21"/>
            <w:szCs w:val="21"/>
            <w14:ligatures w14:val="none"/>
          </w:rPr>
          <w:t>Townhall_March</w:t>
        </w:r>
        <w:proofErr w:type="spellEnd"/>
        <w:r w:rsidRPr="003204D3">
          <w:rPr>
            <w:rFonts w:ascii="Segoe UI" w:eastAsia="Times New Roman" w:hAnsi="Segoe UI" w:cs="Segoe UI"/>
            <w:color w:val="464FEB"/>
            <w:kern w:val="0"/>
            <w:sz w:val="21"/>
            <w:szCs w:val="21"/>
            <w14:ligatures w14:val="none"/>
          </w:rPr>
          <w:t xml:space="preserve"> 2, 2023</w:t>
        </w:r>
      </w:hyperlink>
    </w:p>
    <w:p w14:paraId="4E78C86F" w14:textId="77777777" w:rsidR="003204D3" w:rsidRPr="003204D3" w:rsidRDefault="003204D3" w:rsidP="003204D3">
      <w:pPr>
        <w:spacing w:after="0" w:line="300" w:lineRule="atLeast"/>
        <w:rPr>
          <w:rFonts w:ascii="Segoe UI" w:eastAsia="Times New Roman" w:hAnsi="Segoe UI" w:cs="Segoe UI"/>
          <w:kern w:val="0"/>
          <w:sz w:val="21"/>
          <w:szCs w:val="21"/>
          <w14:ligatures w14:val="none"/>
        </w:rPr>
      </w:pPr>
      <w:r w:rsidRPr="003204D3">
        <w:rPr>
          <w:rFonts w:ascii="Segoe UI" w:eastAsia="Times New Roman" w:hAnsi="Segoe UI" w:cs="Segoe UI"/>
          <w:kern w:val="0"/>
          <w:sz w:val="21"/>
          <w:szCs w:val="21"/>
          <w14:ligatures w14:val="none"/>
        </w:rPr>
        <w:t xml:space="preserve">[8] </w:t>
      </w:r>
      <w:hyperlink r:id="rId187" w:history="1">
        <w:r w:rsidRPr="003204D3">
          <w:rPr>
            <w:rFonts w:ascii="Segoe UI" w:eastAsia="Times New Roman" w:hAnsi="Segoe UI" w:cs="Segoe UI"/>
            <w:color w:val="464FEB"/>
            <w:kern w:val="0"/>
            <w:sz w:val="21"/>
            <w:szCs w:val="21"/>
            <w14:ligatures w14:val="none"/>
          </w:rPr>
          <w:t>Content Operations Output V1</w:t>
        </w:r>
      </w:hyperlink>
    </w:p>
    <w:p w14:paraId="47B99EFC" w14:textId="77777777" w:rsidR="003204D3" w:rsidRDefault="003204D3"/>
    <w:p w14:paraId="7F9D0DA4" w14:textId="77777777" w:rsidR="00EE3079" w:rsidRPr="00EE3079" w:rsidRDefault="00EE3079" w:rsidP="00EE307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E3079">
        <w:rPr>
          <w:rFonts w:ascii="Segoe UI" w:eastAsia="Times New Roman" w:hAnsi="Segoe UI" w:cs="Segoe UI"/>
          <w:b/>
          <w:bCs/>
          <w:kern w:val="0"/>
          <w:sz w:val="36"/>
          <w:szCs w:val="36"/>
          <w14:ligatures w14:val="none"/>
        </w:rPr>
        <w:t>INNOVATION &amp; RESEARCH &amp; DEVELOPMENT TRANSFORMATION</w:t>
      </w:r>
    </w:p>
    <w:p w14:paraId="47214823"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Assessment:</w:t>
      </w:r>
      <w:r w:rsidRPr="00EE3079">
        <w:rPr>
          <w:rFonts w:ascii="Segoe UI" w:eastAsia="Times New Roman" w:hAnsi="Segoe UI" w:cs="Segoe UI"/>
          <w:kern w:val="0"/>
          <w:sz w:val="21"/>
          <w:szCs w:val="21"/>
          <w14:ligatures w14:val="none"/>
        </w:rPr>
        <w:t xml:space="preserve"> Thomson Reuters’ innovation and R&amp;D capabilities are a significant enabler of its transformation, underpinned by decades of applied research experience and a culture increasingly geared toward experimentation (Rating: </w:t>
      </w:r>
      <w:r w:rsidRPr="00EE3079">
        <w:rPr>
          <w:rFonts w:ascii="Segoe UI" w:eastAsia="Times New Roman" w:hAnsi="Segoe UI" w:cs="Segoe UI"/>
          <w:b/>
          <w:bCs/>
          <w:kern w:val="0"/>
          <w:sz w:val="21"/>
          <w:szCs w:val="21"/>
          <w14:ligatures w14:val="none"/>
        </w:rPr>
        <w:t>4/5</w:t>
      </w:r>
      <w:r w:rsidRPr="00EE3079">
        <w:rPr>
          <w:rFonts w:ascii="Segoe UI" w:eastAsia="Times New Roman" w:hAnsi="Segoe UI" w:cs="Segoe UI"/>
          <w:kern w:val="0"/>
          <w:sz w:val="21"/>
          <w:szCs w:val="21"/>
          <w14:ligatures w14:val="none"/>
        </w:rPr>
        <w:t>). The company’s dedicated R&amp;D arm – Thomson Reuters Labs – has been at the forefront of exploring new technologies for over 30 years</w:t>
      </w:r>
      <w:hyperlink r:id="rId188"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This long-standing commitment means TR entered the current transformation with substantial in-house expertise in AI, data science, and product innovation. In recent years, the company bolstered this strength by launching a corporate venture capital fund (Thomson Reuters Ventures) to invest in startups aligning with its strategic focus (legal tech, tax tech, fintech, risk, media)</w:t>
      </w:r>
      <w:hyperlink r:id="rId189" w:history="1">
        <w:r w:rsidRPr="00EE3079">
          <w:rPr>
            <w:rFonts w:ascii="Segoe UI" w:eastAsia="Times New Roman" w:hAnsi="Segoe UI" w:cs="Segoe UI"/>
            <w:color w:val="464FEB"/>
            <w:kern w:val="0"/>
            <w:sz w:val="21"/>
            <w:szCs w:val="21"/>
            <w14:ligatures w14:val="none"/>
          </w:rPr>
          <w:t>[2]</w:t>
        </w:r>
      </w:hyperlink>
      <w:hyperlink r:id="rId190"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These moves indicate a proactive stance to harness both internal and external innovation. The reason this area is not rated a full 5 is rooted in scale and integration: Thomson Reuters Labs, while effective, historically operated somewhat separately from business units, and the challenge remains to continuously integrate breakthrough prototypes into core products swiftly. That said, the trajectory is strong – mechanisms like an internal Distinguished Engineer program and annual global hackathons are embedding innovation into the company’s DNA</w:t>
      </w:r>
      <w:hyperlink r:id="rId191" w:history="1">
        <w:r w:rsidRPr="00EE3079">
          <w:rPr>
            <w:rFonts w:ascii="Segoe UI" w:eastAsia="Times New Roman" w:hAnsi="Segoe UI" w:cs="Segoe UI"/>
            <w:color w:val="464FEB"/>
            <w:kern w:val="0"/>
            <w:sz w:val="21"/>
            <w:szCs w:val="21"/>
            <w14:ligatures w14:val="none"/>
          </w:rPr>
          <w:t>[3]</w:t>
        </w:r>
      </w:hyperlink>
      <w:hyperlink r:id="rId192"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TR has the innovation engine and structure needed for end-to-end reimagination; the ongoing task is to ensure every good idea quickly finds its way to delivering customer value. </w:t>
      </w:r>
    </w:p>
    <w:p w14:paraId="62D939CF"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Key Internal Findings:</w:t>
      </w:r>
      <w:r w:rsidRPr="00EE3079">
        <w:rPr>
          <w:rFonts w:ascii="Segoe UI" w:eastAsia="Times New Roman" w:hAnsi="Segoe UI" w:cs="Segoe UI"/>
          <w:kern w:val="0"/>
          <w:sz w:val="21"/>
          <w:szCs w:val="21"/>
          <w14:ligatures w14:val="none"/>
        </w:rPr>
        <w:t xml:space="preserve"> Internally, Thomson Reuters identified that maintaining a </w:t>
      </w:r>
      <w:r w:rsidRPr="00EE3079">
        <w:rPr>
          <w:rFonts w:ascii="Segoe UI" w:eastAsia="Times New Roman" w:hAnsi="Segoe UI" w:cs="Segoe UI"/>
          <w:b/>
          <w:bCs/>
          <w:kern w:val="0"/>
          <w:sz w:val="21"/>
          <w:szCs w:val="21"/>
          <w14:ligatures w14:val="none"/>
        </w:rPr>
        <w:t>“build, partner, buy”</w:t>
      </w:r>
      <w:r w:rsidRPr="00EE3079">
        <w:rPr>
          <w:rFonts w:ascii="Segoe UI" w:eastAsia="Times New Roman" w:hAnsi="Segoe UI" w:cs="Segoe UI"/>
          <w:kern w:val="0"/>
          <w:sz w:val="21"/>
          <w:szCs w:val="21"/>
          <w14:ligatures w14:val="none"/>
        </w:rPr>
        <w:t xml:space="preserve"> approach accelerates innovation. An insight from the Change Program was that not all new capabilities needed to be built organically; partnering or investing externally could inject innovation faster. This led to the creation in 2021 of a </w:t>
      </w:r>
      <w:r w:rsidRPr="00EE3079">
        <w:rPr>
          <w:rFonts w:ascii="Segoe UI" w:eastAsia="Times New Roman" w:hAnsi="Segoe UI" w:cs="Segoe UI"/>
          <w:b/>
          <w:bCs/>
          <w:kern w:val="0"/>
          <w:sz w:val="21"/>
          <w:szCs w:val="21"/>
          <w14:ligatures w14:val="none"/>
        </w:rPr>
        <w:t>$100 million “Future of Professionals” venture fund</w:t>
      </w:r>
      <w:r w:rsidRPr="00EE3079">
        <w:rPr>
          <w:rFonts w:ascii="Segoe UI" w:eastAsia="Times New Roman" w:hAnsi="Segoe UI" w:cs="Segoe UI"/>
          <w:kern w:val="0"/>
          <w:sz w:val="21"/>
          <w:szCs w:val="21"/>
          <w14:ligatures w14:val="none"/>
        </w:rPr>
        <w:t xml:space="preserve"> (recently topped up with a second $150 million fund in 2025)</w:t>
      </w:r>
      <w:hyperlink r:id="rId193" w:history="1">
        <w:r w:rsidRPr="00EE3079">
          <w:rPr>
            <w:rFonts w:ascii="Segoe UI" w:eastAsia="Times New Roman" w:hAnsi="Segoe UI" w:cs="Segoe UI"/>
            <w:color w:val="464FEB"/>
            <w:kern w:val="0"/>
            <w:sz w:val="21"/>
            <w:szCs w:val="21"/>
            <w14:ligatures w14:val="none"/>
          </w:rPr>
          <w:t>[2]</w:t>
        </w:r>
      </w:hyperlink>
      <w:hyperlink r:id="rId194"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xml:space="preserve">. Through this, TR has made </w:t>
      </w:r>
      <w:r w:rsidRPr="00EE3079">
        <w:rPr>
          <w:rFonts w:ascii="Segoe UI" w:eastAsia="Times New Roman" w:hAnsi="Segoe UI" w:cs="Segoe UI"/>
          <w:b/>
          <w:bCs/>
          <w:kern w:val="0"/>
          <w:sz w:val="21"/>
          <w:szCs w:val="21"/>
          <w14:ligatures w14:val="none"/>
        </w:rPr>
        <w:t>23 startup investments</w:t>
      </w:r>
      <w:r w:rsidRPr="00EE3079">
        <w:rPr>
          <w:rFonts w:ascii="Segoe UI" w:eastAsia="Times New Roman" w:hAnsi="Segoe UI" w:cs="Segoe UI"/>
          <w:kern w:val="0"/>
          <w:sz w:val="21"/>
          <w:szCs w:val="21"/>
          <w14:ligatures w14:val="none"/>
        </w:rPr>
        <w:t xml:space="preserve"> in areas like agentic AI, legal tech, and fintech, one result being the acquisition of Materia after an initial investment to boost TR’s AI for tax and audit solutions</w:t>
      </w:r>
      <w:hyperlink r:id="rId195" w:history="1">
        <w:r w:rsidRPr="00EE3079">
          <w:rPr>
            <w:rFonts w:ascii="Segoe UI" w:eastAsia="Times New Roman" w:hAnsi="Segoe UI" w:cs="Segoe UI"/>
            <w:color w:val="464FEB"/>
            <w:kern w:val="0"/>
            <w:sz w:val="21"/>
            <w:szCs w:val="21"/>
            <w14:ligatures w14:val="none"/>
          </w:rPr>
          <w:t>[2]</w:t>
        </w:r>
      </w:hyperlink>
      <w:hyperlink r:id="rId196"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xml:space="preserve">. Internally, Thomson Reuters Labs serves as the hub for R&amp;D. A key finding is that Labs’ </w:t>
      </w:r>
      <w:r w:rsidRPr="00EE3079">
        <w:rPr>
          <w:rFonts w:ascii="Segoe UI" w:eastAsia="Times New Roman" w:hAnsi="Segoe UI" w:cs="Segoe UI"/>
          <w:b/>
          <w:bCs/>
          <w:kern w:val="0"/>
          <w:sz w:val="21"/>
          <w:szCs w:val="21"/>
          <w14:ligatures w14:val="none"/>
        </w:rPr>
        <w:t>customer-centric, problem-first approach</w:t>
      </w:r>
      <w:r w:rsidRPr="00EE3079">
        <w:rPr>
          <w:rFonts w:ascii="Segoe UI" w:eastAsia="Times New Roman" w:hAnsi="Segoe UI" w:cs="Segoe UI"/>
          <w:kern w:val="0"/>
          <w:sz w:val="21"/>
          <w:szCs w:val="21"/>
          <w14:ligatures w14:val="none"/>
        </w:rPr>
        <w:t xml:space="preserve"> has been crucial. Rather than doing research in isolation, teams start with real professional challenges (e.g., “how can we predict court outcomes?”) and iterate solutions with end-users in mind</w:t>
      </w:r>
      <w:hyperlink r:id="rId197" w:history="1">
        <w:r w:rsidRPr="00EE3079">
          <w:rPr>
            <w:rFonts w:ascii="Segoe UI" w:eastAsia="Times New Roman" w:hAnsi="Segoe UI" w:cs="Segoe UI"/>
            <w:color w:val="464FEB"/>
            <w:kern w:val="0"/>
            <w:sz w:val="21"/>
            <w:szCs w:val="21"/>
            <w14:ligatures w14:val="none"/>
          </w:rPr>
          <w:t>[4]</w:t>
        </w:r>
      </w:hyperlink>
      <w:hyperlink r:id="rId198"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This human-centered design ethos was reinforced over time – for example, early AI projects taught TR that trust and usability would make or break adoption, so now every Labs project considers AI ethics, bias mitigation, and user transparency from the outset</w:t>
      </w:r>
      <w:hyperlink r:id="rId199" w:history="1">
        <w:r w:rsidRPr="00EE3079">
          <w:rPr>
            <w:rFonts w:ascii="Segoe UI" w:eastAsia="Times New Roman" w:hAnsi="Segoe UI" w:cs="Segoe UI"/>
            <w:color w:val="464FEB"/>
            <w:kern w:val="0"/>
            <w:sz w:val="21"/>
            <w:szCs w:val="21"/>
            <w14:ligatures w14:val="none"/>
          </w:rPr>
          <w:t>[1]</w:t>
        </w:r>
      </w:hyperlink>
      <w:hyperlink r:id="rId200"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xml:space="preserve">. Another finding is the importance of </w:t>
      </w:r>
      <w:r w:rsidRPr="00EE3079">
        <w:rPr>
          <w:rFonts w:ascii="Segoe UI" w:eastAsia="Times New Roman" w:hAnsi="Segoe UI" w:cs="Segoe UI"/>
          <w:b/>
          <w:bCs/>
          <w:kern w:val="0"/>
          <w:sz w:val="21"/>
          <w:szCs w:val="21"/>
          <w14:ligatures w14:val="none"/>
        </w:rPr>
        <w:t>cross-functional talent</w:t>
      </w:r>
      <w:r w:rsidRPr="00EE3079">
        <w:rPr>
          <w:rFonts w:ascii="Segoe UI" w:eastAsia="Times New Roman" w:hAnsi="Segoe UI" w:cs="Segoe UI"/>
          <w:kern w:val="0"/>
          <w:sz w:val="21"/>
          <w:szCs w:val="21"/>
          <w14:ligatures w14:val="none"/>
        </w:rPr>
        <w:t xml:space="preserve"> in innovation. Thomson Reuters deliberately composes Labs teams with machine learning researchers, engineers, domain experts (lawyers, accountants, journalists), and UX designers working side-by-side</w:t>
      </w:r>
      <w:hyperlink r:id="rId201" w:history="1">
        <w:r w:rsidRPr="00EE3079">
          <w:rPr>
            <w:rFonts w:ascii="Segoe UI" w:eastAsia="Times New Roman" w:hAnsi="Segoe UI" w:cs="Segoe UI"/>
            <w:color w:val="464FEB"/>
            <w:kern w:val="0"/>
            <w:sz w:val="21"/>
            <w:szCs w:val="21"/>
            <w14:ligatures w14:val="none"/>
          </w:rPr>
          <w:t>[4]</w:t>
        </w:r>
      </w:hyperlink>
      <w:hyperlink r:id="rId202"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xml:space="preserve">. This diversity accelerates turning an idea into a viable prototype that fits seamlessly into workflows. The company also realized that recognition and cultural support for innovators are key to sustaining R&amp;D momentum. In 2022, TR launched a </w:t>
      </w:r>
      <w:r w:rsidRPr="00EE3079">
        <w:rPr>
          <w:rFonts w:ascii="Segoe UI" w:eastAsia="Times New Roman" w:hAnsi="Segoe UI" w:cs="Segoe UI"/>
          <w:b/>
          <w:bCs/>
          <w:kern w:val="0"/>
          <w:sz w:val="21"/>
          <w:szCs w:val="21"/>
          <w14:ligatures w14:val="none"/>
        </w:rPr>
        <w:t>Distinguished Engineer program</w:t>
      </w:r>
      <w:r w:rsidRPr="00EE3079">
        <w:rPr>
          <w:rFonts w:ascii="Segoe UI" w:eastAsia="Times New Roman" w:hAnsi="Segoe UI" w:cs="Segoe UI"/>
          <w:kern w:val="0"/>
          <w:sz w:val="21"/>
          <w:szCs w:val="21"/>
          <w14:ligatures w14:val="none"/>
        </w:rPr>
        <w:t>, elevating top technical talent to work on high-impact projects and mentor teams in advanced engineering practices</w:t>
      </w:r>
      <w:hyperlink r:id="rId203"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Coupled with enterprise-wide hackathons (the first Global AI Hackathon in 2023 drew over 600 participants who developed nearly 100 AI prototypes</w:t>
      </w:r>
      <w:hyperlink r:id="rId204"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these initiatives uncovered a wealth of grassroots ideas and signaled to employees that </w:t>
      </w:r>
      <w:r w:rsidRPr="00EE3079">
        <w:rPr>
          <w:rFonts w:ascii="Segoe UI" w:eastAsia="Times New Roman" w:hAnsi="Segoe UI" w:cs="Segoe UI"/>
          <w:kern w:val="0"/>
          <w:sz w:val="21"/>
          <w:szCs w:val="21"/>
          <w14:ligatures w14:val="none"/>
        </w:rPr>
        <w:lastRenderedPageBreak/>
        <w:t xml:space="preserve">innovation is everyone’s responsibility, not just the Labs’. Collectively, these findings show that Thomson Reuters has built a multi-pronged innovation engine – mixing internal R&amp;D, external investments, and cultural incentives – to continually seed and feed its transformation efforts. </w:t>
      </w:r>
    </w:p>
    <w:p w14:paraId="428BA4E6"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AI Integration Context:</w:t>
      </w:r>
      <w:r w:rsidRPr="00EE3079">
        <w:rPr>
          <w:rFonts w:ascii="Segoe UI" w:eastAsia="Times New Roman" w:hAnsi="Segoe UI" w:cs="Segoe UI"/>
          <w:kern w:val="0"/>
          <w:sz w:val="21"/>
          <w:szCs w:val="21"/>
          <w14:ligatures w14:val="none"/>
        </w:rPr>
        <w:t xml:space="preserve"> Innovation at Thomson Reuters is overwhelmingly intertwined with AI advancement. Thomson Reuters Labs has been an </w:t>
      </w:r>
      <w:r w:rsidRPr="00EE3079">
        <w:rPr>
          <w:rFonts w:ascii="Segoe UI" w:eastAsia="Times New Roman" w:hAnsi="Segoe UI" w:cs="Segoe UI"/>
          <w:b/>
          <w:bCs/>
          <w:kern w:val="0"/>
          <w:sz w:val="21"/>
          <w:szCs w:val="21"/>
          <w14:ligatures w14:val="none"/>
        </w:rPr>
        <w:t>“integral enabler”</w:t>
      </w:r>
      <w:r w:rsidRPr="00EE3079">
        <w:rPr>
          <w:rFonts w:ascii="Segoe UI" w:eastAsia="Times New Roman" w:hAnsi="Segoe UI" w:cs="Segoe UI"/>
          <w:kern w:val="0"/>
          <w:sz w:val="21"/>
          <w:szCs w:val="21"/>
          <w14:ligatures w14:val="none"/>
        </w:rPr>
        <w:t xml:space="preserve"> of the company’s AI strategy</w:t>
      </w:r>
      <w:hyperlink r:id="rId205"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evolving its methods alongside each wave of AI technology – from statistical NLP in the 1990s to machine learning in the 2000s to today’s transformer-based generative AI</w:t>
      </w:r>
      <w:hyperlink r:id="rId206"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xml:space="preserve">. A historical example: TR Labs pioneered </w:t>
      </w:r>
      <w:r w:rsidRPr="00EE3079">
        <w:rPr>
          <w:rFonts w:ascii="Segoe UI" w:eastAsia="Times New Roman" w:hAnsi="Segoe UI" w:cs="Segoe UI"/>
          <w:b/>
          <w:bCs/>
          <w:kern w:val="0"/>
          <w:sz w:val="21"/>
          <w:szCs w:val="21"/>
          <w14:ligatures w14:val="none"/>
        </w:rPr>
        <w:t>Westlaw Is Natural (WIN)</w:t>
      </w:r>
      <w:r w:rsidRPr="00EE3079">
        <w:rPr>
          <w:rFonts w:ascii="Segoe UI" w:eastAsia="Times New Roman" w:hAnsi="Segoe UI" w:cs="Segoe UI"/>
          <w:kern w:val="0"/>
          <w:sz w:val="21"/>
          <w:szCs w:val="21"/>
          <w14:ligatures w14:val="none"/>
        </w:rPr>
        <w:t xml:space="preserve"> in the 1990s, the first probabilistic legal search engine, laying the groundwork for today’s AI search capabilities</w:t>
      </w:r>
      <w:hyperlink r:id="rId207"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xml:space="preserve">. Fast forward, and Labs was instrumental in developing features like </w:t>
      </w:r>
      <w:r w:rsidRPr="00EE3079">
        <w:rPr>
          <w:rFonts w:ascii="Segoe UI" w:eastAsia="Times New Roman" w:hAnsi="Segoe UI" w:cs="Segoe UI"/>
          <w:b/>
          <w:bCs/>
          <w:kern w:val="0"/>
          <w:sz w:val="21"/>
          <w:szCs w:val="21"/>
          <w14:ligatures w14:val="none"/>
        </w:rPr>
        <w:t>Quick Check</w:t>
      </w:r>
      <w:r w:rsidRPr="00EE3079">
        <w:rPr>
          <w:rFonts w:ascii="Segoe UI" w:eastAsia="Times New Roman" w:hAnsi="Segoe UI" w:cs="Segoe UI"/>
          <w:kern w:val="0"/>
          <w:sz w:val="21"/>
          <w:szCs w:val="21"/>
          <w14:ligatures w14:val="none"/>
        </w:rPr>
        <w:t xml:space="preserve"> (legal brief analysis using AI) and the recent </w:t>
      </w:r>
      <w:r w:rsidRPr="00EE3079">
        <w:rPr>
          <w:rFonts w:ascii="Segoe UI" w:eastAsia="Times New Roman" w:hAnsi="Segoe UI" w:cs="Segoe UI"/>
          <w:b/>
          <w:bCs/>
          <w:kern w:val="0"/>
          <w:sz w:val="21"/>
          <w:szCs w:val="21"/>
          <w14:ligatures w14:val="none"/>
        </w:rPr>
        <w:t>generative AI copilots</w:t>
      </w:r>
      <w:r w:rsidRPr="00EE3079">
        <w:rPr>
          <w:rFonts w:ascii="Segoe UI" w:eastAsia="Times New Roman" w:hAnsi="Segoe UI" w:cs="Segoe UI"/>
          <w:kern w:val="0"/>
          <w:sz w:val="21"/>
          <w:szCs w:val="21"/>
          <w14:ligatures w14:val="none"/>
        </w:rPr>
        <w:t xml:space="preserve"> in products, by researching those capabilities years in advance. AI isn’t confined to the Labs – hackathons and innovation challenges have a strong AI focus as well. The 2023 AI Hackathon, for instance, produced prototypes of GPT-based assistants for internal processes and customer support, some of which were fast-tracked for further development</w:t>
      </w:r>
      <w:hyperlink r:id="rId208"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The corporate venture investments also skew toward AI: many startups in TR’s portfolio are AI-driven (e.g., </w:t>
      </w:r>
      <w:proofErr w:type="spellStart"/>
      <w:r w:rsidRPr="00EE3079">
        <w:rPr>
          <w:rFonts w:ascii="Segoe UI" w:eastAsia="Times New Roman" w:hAnsi="Segoe UI" w:cs="Segoe UI"/>
          <w:b/>
          <w:bCs/>
          <w:kern w:val="0"/>
          <w:sz w:val="21"/>
          <w:szCs w:val="21"/>
          <w14:ligatures w14:val="none"/>
        </w:rPr>
        <w:t>casetext</w:t>
      </w:r>
      <w:proofErr w:type="spellEnd"/>
      <w:r w:rsidRPr="00EE3079">
        <w:rPr>
          <w:rFonts w:ascii="Segoe UI" w:eastAsia="Times New Roman" w:hAnsi="Segoe UI" w:cs="Segoe UI"/>
          <w:kern w:val="0"/>
          <w:sz w:val="21"/>
          <w:szCs w:val="21"/>
          <w14:ligatures w14:val="none"/>
        </w:rPr>
        <w:t xml:space="preserve"> prior to acquisition, and companies like </w:t>
      </w:r>
      <w:proofErr w:type="spellStart"/>
      <w:r w:rsidRPr="00EE3079">
        <w:rPr>
          <w:rFonts w:ascii="Segoe UI" w:eastAsia="Times New Roman" w:hAnsi="Segoe UI" w:cs="Segoe UI"/>
          <w:kern w:val="0"/>
          <w:sz w:val="21"/>
          <w:szCs w:val="21"/>
          <w14:ligatures w14:val="none"/>
        </w:rPr>
        <w:t>Truewind</w:t>
      </w:r>
      <w:proofErr w:type="spellEnd"/>
      <w:r w:rsidRPr="00EE3079">
        <w:rPr>
          <w:rFonts w:ascii="Segoe UI" w:eastAsia="Times New Roman" w:hAnsi="Segoe UI" w:cs="Segoe UI"/>
          <w:kern w:val="0"/>
          <w:sz w:val="21"/>
          <w:szCs w:val="21"/>
          <w14:ligatures w14:val="none"/>
        </w:rPr>
        <w:t xml:space="preserve"> for AI in tax accounting</w:t>
      </w:r>
      <w:hyperlink r:id="rId209"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xml:space="preserve">). This ensures TR stays plugged into cutting-edge AI developments in the market. Another aspect of AI integration in R&amp;D is </w:t>
      </w:r>
      <w:proofErr w:type="spellStart"/>
      <w:r w:rsidRPr="00EE3079">
        <w:rPr>
          <w:rFonts w:ascii="Segoe UI" w:eastAsia="Times New Roman" w:hAnsi="Segoe UI" w:cs="Segoe UI"/>
          <w:b/>
          <w:bCs/>
          <w:kern w:val="0"/>
          <w:sz w:val="21"/>
          <w:szCs w:val="21"/>
          <w14:ligatures w14:val="none"/>
        </w:rPr>
        <w:t>ModelOps</w:t>
      </w:r>
      <w:proofErr w:type="spellEnd"/>
      <w:r w:rsidRPr="00EE3079">
        <w:rPr>
          <w:rFonts w:ascii="Segoe UI" w:eastAsia="Times New Roman" w:hAnsi="Segoe UI" w:cs="Segoe UI"/>
          <w:b/>
          <w:bCs/>
          <w:kern w:val="0"/>
          <w:sz w:val="21"/>
          <w:szCs w:val="21"/>
          <w14:ligatures w14:val="none"/>
        </w:rPr>
        <w:t xml:space="preserve"> (ML Ops)</w:t>
      </w:r>
      <w:r w:rsidRPr="00EE3079">
        <w:rPr>
          <w:rFonts w:ascii="Segoe UI" w:eastAsia="Times New Roman" w:hAnsi="Segoe UI" w:cs="Segoe UI"/>
          <w:kern w:val="0"/>
          <w:sz w:val="21"/>
          <w:szCs w:val="21"/>
          <w14:ligatures w14:val="none"/>
        </w:rPr>
        <w:t xml:space="preserve"> – Thomson Reuters has adopted modern practices to deploy and monitor AI models effectively, treating it as a continuous pipeline similar to software DevOps</w:t>
      </w:r>
      <w:hyperlink r:id="rId210" w:history="1">
        <w:r w:rsidRPr="00EE3079">
          <w:rPr>
            <w:rFonts w:ascii="Segoe UI" w:eastAsia="Times New Roman" w:hAnsi="Segoe UI" w:cs="Segoe UI"/>
            <w:color w:val="464FEB"/>
            <w:kern w:val="0"/>
            <w:sz w:val="21"/>
            <w:szCs w:val="21"/>
            <w14:ligatures w14:val="none"/>
          </w:rPr>
          <w:t>[4]</w:t>
        </w:r>
      </w:hyperlink>
      <w:r w:rsidRPr="00EE3079">
        <w:rPr>
          <w:rFonts w:ascii="Segoe UI" w:eastAsia="Times New Roman" w:hAnsi="Segoe UI" w:cs="Segoe UI"/>
          <w:kern w:val="0"/>
          <w:sz w:val="21"/>
          <w:szCs w:val="21"/>
          <w14:ligatures w14:val="none"/>
        </w:rPr>
        <w:t xml:space="preserve">. This means innovations leaving the research phase can be industrialized reliably (for example, Labs might develop a proof-of-concept AI model which is then handed to product engineering with an established </w:t>
      </w:r>
      <w:proofErr w:type="spellStart"/>
      <w:r w:rsidRPr="00EE3079">
        <w:rPr>
          <w:rFonts w:ascii="Segoe UI" w:eastAsia="Times New Roman" w:hAnsi="Segoe UI" w:cs="Segoe UI"/>
          <w:kern w:val="0"/>
          <w:sz w:val="21"/>
          <w:szCs w:val="21"/>
          <w14:ligatures w14:val="none"/>
        </w:rPr>
        <w:t>ModelOps</w:t>
      </w:r>
      <w:proofErr w:type="spellEnd"/>
      <w:r w:rsidRPr="00EE3079">
        <w:rPr>
          <w:rFonts w:ascii="Segoe UI" w:eastAsia="Times New Roman" w:hAnsi="Segoe UI" w:cs="Segoe UI"/>
          <w:kern w:val="0"/>
          <w:sz w:val="21"/>
          <w:szCs w:val="21"/>
          <w14:ligatures w14:val="none"/>
        </w:rPr>
        <w:t xml:space="preserve"> framework for scaling it in production). A noteworthy dimension is TR’s focus on </w:t>
      </w:r>
      <w:r w:rsidRPr="00EE3079">
        <w:rPr>
          <w:rFonts w:ascii="Segoe UI" w:eastAsia="Times New Roman" w:hAnsi="Segoe UI" w:cs="Segoe UI"/>
          <w:b/>
          <w:bCs/>
          <w:kern w:val="0"/>
          <w:sz w:val="21"/>
          <w:szCs w:val="21"/>
          <w14:ligatures w14:val="none"/>
        </w:rPr>
        <w:t>Responsible AI</w:t>
      </w:r>
      <w:r w:rsidRPr="00EE3079">
        <w:rPr>
          <w:rFonts w:ascii="Segoe UI" w:eastAsia="Times New Roman" w:hAnsi="Segoe UI" w:cs="Segoe UI"/>
          <w:kern w:val="0"/>
          <w:sz w:val="21"/>
          <w:szCs w:val="21"/>
          <w14:ligatures w14:val="none"/>
        </w:rPr>
        <w:t xml:space="preserve"> in its innovation agenda. From the design stage, R&amp;D teams incorporate ethical guidelines – any new AI that, say, summarizes legal documents or predicts risks is rigorously tested for fairness and accuracy, aligning with Thomson Reuters’ brand of trust</w:t>
      </w:r>
      <w:hyperlink r:id="rId211" w:history="1">
        <w:r w:rsidRPr="00EE3079">
          <w:rPr>
            <w:rFonts w:ascii="Segoe UI" w:eastAsia="Times New Roman" w:hAnsi="Segoe UI" w:cs="Segoe UI"/>
            <w:color w:val="464FEB"/>
            <w:kern w:val="0"/>
            <w:sz w:val="21"/>
            <w:szCs w:val="21"/>
            <w14:ligatures w14:val="none"/>
          </w:rPr>
          <w:t>[4]</w:t>
        </w:r>
      </w:hyperlink>
      <w:hyperlink r:id="rId212"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In summary, AI is the cornerstone of TR’s innovation strategy: it is both the primary toolkit driving new product features and processes and a key subject of the R&amp;D itself (with ongoing research in NLP, knowledge graphs, AI ethics, etc.). By deeply embedding AI expertise across Labs, ventures, and engineering, Thomson Reuters ensures that its transformation is propelled by the latest and most relevant technological advancements. </w:t>
      </w:r>
    </w:p>
    <w:p w14:paraId="0241D836"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Supporting Internal Evidence:</w:t>
      </w:r>
      <w:r w:rsidRPr="00EE3079">
        <w:rPr>
          <w:rFonts w:ascii="Segoe UI" w:eastAsia="Times New Roman" w:hAnsi="Segoe UI" w:cs="Segoe UI"/>
          <w:kern w:val="0"/>
          <w:sz w:val="21"/>
          <w:szCs w:val="21"/>
          <w14:ligatures w14:val="none"/>
        </w:rPr>
        <w:t xml:space="preserve"> Thomson Reuters’ own communications highlight how central innovation is to its identity and strategy. The 2023 Annual Report explicitly states </w:t>
      </w:r>
      <w:r w:rsidRPr="00EE3079">
        <w:rPr>
          <w:rFonts w:ascii="Segoe UI" w:eastAsia="Times New Roman" w:hAnsi="Segoe UI" w:cs="Segoe UI"/>
          <w:b/>
          <w:bCs/>
          <w:kern w:val="0"/>
          <w:sz w:val="21"/>
          <w:szCs w:val="21"/>
          <w14:ligatures w14:val="none"/>
        </w:rPr>
        <w:t>“innovation is essential to our success and is one of our primary bases of competition”</w:t>
      </w:r>
      <w:r w:rsidRPr="00EE3079">
        <w:rPr>
          <w:rFonts w:ascii="Segoe UI" w:eastAsia="Times New Roman" w:hAnsi="Segoe UI" w:cs="Segoe UI"/>
          <w:kern w:val="0"/>
          <w:sz w:val="21"/>
          <w:szCs w:val="21"/>
          <w14:ligatures w14:val="none"/>
        </w:rPr>
        <w:t>, underscoring that R&amp;D is not a side activity but core to staying ahead</w:t>
      </w:r>
      <w:hyperlink r:id="rId213"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It notes that TR Labs has played a </w:t>
      </w:r>
      <w:r w:rsidRPr="00EE3079">
        <w:rPr>
          <w:rFonts w:ascii="Segoe UI" w:eastAsia="Times New Roman" w:hAnsi="Segoe UI" w:cs="Segoe UI"/>
          <w:b/>
          <w:bCs/>
          <w:kern w:val="0"/>
          <w:sz w:val="21"/>
          <w:szCs w:val="21"/>
          <w14:ligatures w14:val="none"/>
        </w:rPr>
        <w:t>“pivotal role in AI development and delivery for our products and customers for over 30 years,”</w:t>
      </w:r>
      <w:r w:rsidRPr="00EE3079">
        <w:rPr>
          <w:rFonts w:ascii="Segoe UI" w:eastAsia="Times New Roman" w:hAnsi="Segoe UI" w:cs="Segoe UI"/>
          <w:kern w:val="0"/>
          <w:sz w:val="21"/>
          <w:szCs w:val="21"/>
          <w14:ligatures w14:val="none"/>
        </w:rPr>
        <w:t xml:space="preserve"> focusing on applying cutting-edge tech to concrete business problems</w:t>
      </w:r>
      <w:hyperlink r:id="rId214"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This long track record in applied research explains why TR could swiftly incorporate generative AI when it emerged – the foundational work and skills were already in place. The report further enumerates Labs’ </w:t>
      </w:r>
      <w:r w:rsidRPr="00EE3079">
        <w:rPr>
          <w:rFonts w:ascii="Segoe UI" w:eastAsia="Times New Roman" w:hAnsi="Segoe UI" w:cs="Segoe UI"/>
          <w:b/>
          <w:bCs/>
          <w:kern w:val="0"/>
          <w:sz w:val="21"/>
          <w:szCs w:val="21"/>
          <w14:ligatures w14:val="none"/>
        </w:rPr>
        <w:t>primary focus areas: generative AI, language models, NLP, AI ethics and bias mitigation, ML Ops, and human-centered AI</w:t>
      </w:r>
      <w:hyperlink r:id="rId215"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which neatly aligns with how TR is steering its transformation (embedding trustworthy AI into professional workflows). On the investment side, a February 2025 press release details the launch of Thomson Reuters Ventures Fund 2 ($150M), highlighting the success of the first fund and its role in TR’s </w:t>
      </w:r>
      <w:r w:rsidRPr="00EE3079">
        <w:rPr>
          <w:rFonts w:ascii="Segoe UI" w:eastAsia="Times New Roman" w:hAnsi="Segoe UI" w:cs="Segoe UI"/>
          <w:b/>
          <w:bCs/>
          <w:kern w:val="0"/>
          <w:sz w:val="21"/>
          <w:szCs w:val="21"/>
          <w14:ligatures w14:val="none"/>
        </w:rPr>
        <w:t>“Build, Partner, Buy”</w:t>
      </w:r>
      <w:r w:rsidRPr="00EE3079">
        <w:rPr>
          <w:rFonts w:ascii="Segoe UI" w:eastAsia="Times New Roman" w:hAnsi="Segoe UI" w:cs="Segoe UI"/>
          <w:kern w:val="0"/>
          <w:sz w:val="21"/>
          <w:szCs w:val="21"/>
          <w14:ligatures w14:val="none"/>
        </w:rPr>
        <w:t xml:space="preserve"> strategy</w:t>
      </w:r>
      <w:hyperlink r:id="rId216" w:history="1">
        <w:r w:rsidRPr="00EE3079">
          <w:rPr>
            <w:rFonts w:ascii="Segoe UI" w:eastAsia="Times New Roman" w:hAnsi="Segoe UI" w:cs="Segoe UI"/>
            <w:color w:val="464FEB"/>
            <w:kern w:val="0"/>
            <w:sz w:val="21"/>
            <w:szCs w:val="21"/>
            <w14:ligatures w14:val="none"/>
          </w:rPr>
          <w:t>[2]</w:t>
        </w:r>
      </w:hyperlink>
      <w:hyperlink r:id="rId217"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It quotes the Ventures Managing Director emphasizing investing in companies at the forefront of change to maintain TR’s leadership</w:t>
      </w:r>
      <w:hyperlink r:id="rId218"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One tangible outcome mentioned is TR Ventures’ investment in and subsequent acquisition of Materia, an AI firm, to enhance TR’s own products</w:t>
      </w:r>
      <w:hyperlink r:id="rId219" w:history="1">
        <w:r w:rsidRPr="00EE3079">
          <w:rPr>
            <w:rFonts w:ascii="Segoe UI" w:eastAsia="Times New Roman" w:hAnsi="Segoe UI" w:cs="Segoe UI"/>
            <w:color w:val="464FEB"/>
            <w:kern w:val="0"/>
            <w:sz w:val="21"/>
            <w:szCs w:val="21"/>
            <w14:ligatures w14:val="none"/>
          </w:rPr>
          <w:t>[2]</w:t>
        </w:r>
      </w:hyperlink>
      <w:hyperlink r:id="rId220" w:history="1">
        <w:r w:rsidRPr="00EE3079">
          <w:rPr>
            <w:rFonts w:ascii="Segoe UI" w:eastAsia="Times New Roman" w:hAnsi="Segoe UI" w:cs="Segoe UI"/>
            <w:color w:val="464FEB"/>
            <w:kern w:val="0"/>
            <w:sz w:val="21"/>
            <w:szCs w:val="21"/>
            <w14:ligatures w14:val="none"/>
          </w:rPr>
          <w:t>[2]</w:t>
        </w:r>
      </w:hyperlink>
      <w:r w:rsidRPr="00EE3079">
        <w:rPr>
          <w:rFonts w:ascii="Segoe UI" w:eastAsia="Times New Roman" w:hAnsi="Segoe UI" w:cs="Segoe UI"/>
          <w:kern w:val="0"/>
          <w:sz w:val="21"/>
          <w:szCs w:val="21"/>
          <w14:ligatures w14:val="none"/>
        </w:rPr>
        <w:t xml:space="preserve"> – concrete evidence of innovation sourcing through investment. Additional evidence of internal innovation culture comes from employee-facing communications: In 2023, Thomson Reuters introduced the </w:t>
      </w:r>
      <w:r w:rsidRPr="00EE3079">
        <w:rPr>
          <w:rFonts w:ascii="Segoe UI" w:eastAsia="Times New Roman" w:hAnsi="Segoe UI" w:cs="Segoe UI"/>
          <w:b/>
          <w:bCs/>
          <w:kern w:val="0"/>
          <w:sz w:val="21"/>
          <w:szCs w:val="21"/>
          <w14:ligatures w14:val="none"/>
        </w:rPr>
        <w:t>Global Learning Days</w:t>
      </w:r>
      <w:r w:rsidRPr="00EE3079">
        <w:rPr>
          <w:rFonts w:ascii="Segoe UI" w:eastAsia="Times New Roman" w:hAnsi="Segoe UI" w:cs="Segoe UI"/>
          <w:kern w:val="0"/>
          <w:sz w:val="21"/>
          <w:szCs w:val="21"/>
          <w14:ligatures w14:val="none"/>
        </w:rPr>
        <w:t xml:space="preserve"> with the very first installment focused on AI and ML, accompanied by 8 hours of training for 6,000 employees and the roll-out of an “Open Arena” for experimentation with large language models</w:t>
      </w:r>
      <w:hyperlink r:id="rId221" w:history="1">
        <w:r w:rsidRPr="00EE3079">
          <w:rPr>
            <w:rFonts w:ascii="Segoe UI" w:eastAsia="Times New Roman" w:hAnsi="Segoe UI" w:cs="Segoe UI"/>
            <w:color w:val="464FEB"/>
            <w:kern w:val="0"/>
            <w:sz w:val="21"/>
            <w:szCs w:val="21"/>
            <w14:ligatures w14:val="none"/>
          </w:rPr>
          <w:t>[5]</w:t>
        </w:r>
      </w:hyperlink>
      <w:hyperlink r:id="rId222"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This indicates top leadership directly fostering an innovative mindset at all staff levels. Another example, the </w:t>
      </w:r>
      <w:r w:rsidRPr="00EE3079">
        <w:rPr>
          <w:rFonts w:ascii="Segoe UI" w:eastAsia="Times New Roman" w:hAnsi="Segoe UI" w:cs="Segoe UI"/>
          <w:b/>
          <w:bCs/>
          <w:kern w:val="0"/>
          <w:sz w:val="21"/>
          <w:szCs w:val="21"/>
          <w14:ligatures w14:val="none"/>
        </w:rPr>
        <w:t>Distinguished Engineer program</w:t>
      </w:r>
      <w:r w:rsidRPr="00EE3079">
        <w:rPr>
          <w:rFonts w:ascii="Segoe UI" w:eastAsia="Times New Roman" w:hAnsi="Segoe UI" w:cs="Segoe UI"/>
          <w:kern w:val="0"/>
          <w:sz w:val="21"/>
          <w:szCs w:val="21"/>
          <w14:ligatures w14:val="none"/>
        </w:rPr>
        <w:t>, was celebrated in internal news for promoting engineering excellence and had its first cohort working on improving digital products and services quality in 2023</w:t>
      </w:r>
      <w:hyperlink r:id="rId223"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On the Labs front, TR often publicizes some of its R&amp;D collaborations – for instance, TR Labs partnered with academia on natural language processing research </w:t>
      </w:r>
      <w:r w:rsidRPr="00EE3079">
        <w:rPr>
          <w:rFonts w:ascii="Segoe UI" w:eastAsia="Times New Roman" w:hAnsi="Segoe UI" w:cs="Segoe UI"/>
          <w:kern w:val="0"/>
          <w:sz w:val="21"/>
          <w:szCs w:val="21"/>
          <w14:ligatures w14:val="none"/>
        </w:rPr>
        <w:lastRenderedPageBreak/>
        <w:t>and published papers on legal AI, reinforcing its thought leadership (though specific citations are internal, the Labs website lists numerous breakthroughs and collaborations). Lastly, innovation is also measured in outputs: by integrating AI automation, Reuters News (a TR business) in 2022 dramatically increased the volume of earnings reports it could publish, thanks to technology from TR Labs</w:t>
      </w:r>
      <w:hyperlink r:id="rId224" w:history="1">
        <w:r w:rsidRPr="00EE3079">
          <w:rPr>
            <w:rFonts w:ascii="Segoe UI" w:eastAsia="Times New Roman" w:hAnsi="Segoe UI" w:cs="Segoe UI"/>
            <w:color w:val="464FEB"/>
            <w:kern w:val="0"/>
            <w:sz w:val="21"/>
            <w:szCs w:val="21"/>
            <w14:ligatures w14:val="none"/>
          </w:rPr>
          <w:t>[6]</w:t>
        </w:r>
      </w:hyperlink>
      <w:r w:rsidRPr="00EE3079">
        <w:rPr>
          <w:rFonts w:ascii="Segoe UI" w:eastAsia="Times New Roman" w:hAnsi="Segoe UI" w:cs="Segoe UI"/>
          <w:kern w:val="0"/>
          <w:sz w:val="21"/>
          <w:szCs w:val="21"/>
          <w14:ligatures w14:val="none"/>
        </w:rPr>
        <w:t xml:space="preserve">, showcasing that R&amp;D efforts tangibly improve operational capacity. All these pieces of evidence together paint a picture of a company that is deeply serious about innovation – funding it, structuring for it, celebrating it, and reaping its benefits in products and efficiency. </w:t>
      </w:r>
    </w:p>
    <w:p w14:paraId="33103C20"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Opportunities:</w:t>
      </w:r>
      <w:r w:rsidRPr="00EE3079">
        <w:rPr>
          <w:rFonts w:ascii="Segoe UI" w:eastAsia="Times New Roman" w:hAnsi="Segoe UI" w:cs="Segoe UI"/>
          <w:kern w:val="0"/>
          <w:sz w:val="21"/>
          <w:szCs w:val="21"/>
          <w14:ligatures w14:val="none"/>
        </w:rPr>
        <w:t xml:space="preserve"> Given this strong foundation, several opportunities can further amplify innovation’s impact on the transformation: </w:t>
      </w:r>
    </w:p>
    <w:p w14:paraId="10DF6D6C"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Immediate (3–6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Accelerate the path from prototype to product.</w:t>
      </w:r>
      <w:r w:rsidRPr="00EE3079">
        <w:rPr>
          <w:rFonts w:ascii="Segoe UI" w:eastAsia="Times New Roman" w:hAnsi="Segoe UI" w:cs="Segoe UI"/>
          <w:kern w:val="0"/>
          <w:sz w:val="21"/>
          <w:szCs w:val="21"/>
          <w14:ligatures w14:val="none"/>
        </w:rPr>
        <w:t xml:space="preserve"> One opportunity is to formalize a “innovation fast-track” within the product development pipeline. When Labs or hackathons produce a promising prototype (e.g., an AI tool that could save customers time), assign a dedicated “tiger team” of product managers and engineers to turn it into a market-ready feature within a set short timeframe. This would capitalize on the wealth of ideas already generated but sometimes languishing due to bandwidth. For example, an AI prototype from the hackathon that summarizes regulatory changes could be piloted with a small set of customers within a quarter, gathering feedback for refinement. </w:t>
      </w:r>
    </w:p>
    <w:p w14:paraId="667591E3"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Short-term (6–12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Leverage the venture network more directly.</w:t>
      </w:r>
      <w:r w:rsidRPr="00EE3079">
        <w:rPr>
          <w:rFonts w:ascii="Segoe UI" w:eastAsia="Times New Roman" w:hAnsi="Segoe UI" w:cs="Segoe UI"/>
          <w:kern w:val="0"/>
          <w:sz w:val="21"/>
          <w:szCs w:val="21"/>
          <w14:ligatures w14:val="none"/>
        </w:rPr>
        <w:t xml:space="preserve"> With 20+ startup investments, TR could create an </w:t>
      </w:r>
      <w:r w:rsidRPr="00EE3079">
        <w:rPr>
          <w:rFonts w:ascii="Segoe UI" w:eastAsia="Times New Roman" w:hAnsi="Segoe UI" w:cs="Segoe UI"/>
          <w:b/>
          <w:bCs/>
          <w:kern w:val="0"/>
          <w:sz w:val="21"/>
          <w:szCs w:val="21"/>
          <w14:ligatures w14:val="none"/>
        </w:rPr>
        <w:t>Innovation Exchange Program</w:t>
      </w:r>
      <w:r w:rsidRPr="00EE3079">
        <w:rPr>
          <w:rFonts w:ascii="Segoe UI" w:eastAsia="Times New Roman" w:hAnsi="Segoe UI" w:cs="Segoe UI"/>
          <w:kern w:val="0"/>
          <w:sz w:val="21"/>
          <w:szCs w:val="21"/>
          <w14:ligatures w14:val="none"/>
        </w:rPr>
        <w:t xml:space="preserve">: embed startup founders or tech leads within TR product teams for a few weeks (and vice versa, send TR engineers to the startups) to cross-pollinate ideas. This could accelerate knowledge transfer of cutting-edge techniques (say, a startup’s expertise in blockchain or advanced UX design) into Thomson Reuters’ thinking. It would also strengthen relationships, potentially surfacing more opportunities for acquisition or partnership. </w:t>
      </w:r>
    </w:p>
    <w:p w14:paraId="476AA082"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 (12–18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Expand “open innovation” with customers.</w:t>
      </w:r>
      <w:r w:rsidRPr="00EE3079">
        <w:rPr>
          <w:rFonts w:ascii="Segoe UI" w:eastAsia="Times New Roman" w:hAnsi="Segoe UI" w:cs="Segoe UI"/>
          <w:kern w:val="0"/>
          <w:sz w:val="21"/>
          <w:szCs w:val="21"/>
          <w14:ligatures w14:val="none"/>
        </w:rPr>
        <w:t xml:space="preserve"> Thomson Reuters can invite select forward-thinking customers to co-innovate on new solutions, effectively treating key clients as extension of the R&amp;D team. For instance, establish an </w:t>
      </w:r>
      <w:r w:rsidRPr="00EE3079">
        <w:rPr>
          <w:rFonts w:ascii="Segoe UI" w:eastAsia="Times New Roman" w:hAnsi="Segoe UI" w:cs="Segoe UI"/>
          <w:b/>
          <w:bCs/>
          <w:kern w:val="0"/>
          <w:sz w:val="21"/>
          <w:szCs w:val="21"/>
          <w14:ligatures w14:val="none"/>
        </w:rPr>
        <w:t>Innovation Council</w:t>
      </w:r>
      <w:r w:rsidRPr="00EE3079">
        <w:rPr>
          <w:rFonts w:ascii="Segoe UI" w:eastAsia="Times New Roman" w:hAnsi="Segoe UI" w:cs="Segoe UI"/>
          <w:kern w:val="0"/>
          <w:sz w:val="21"/>
          <w:szCs w:val="21"/>
          <w14:ligatures w14:val="none"/>
        </w:rPr>
        <w:t xml:space="preserve"> with representatives from major law firms, corporations, and government customers who meet quarterly to review TR’s emerging tech prototypes and contribute ideas. This not only ensures products in development truly match customer needs, but clients often love being part of the innovation journey (it gives them early access and sense of ownership). TR did some of this during Westlaw Precision development by piloting with certain firms – scaling that approach across all segments could yield more breakthrough ideas and adoption-ready solutions. </w:t>
      </w:r>
    </w:p>
    <w:p w14:paraId="609C7C68"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Drive a company-wide innovation KPI.</w:t>
      </w:r>
      <w:r w:rsidRPr="00EE3079">
        <w:rPr>
          <w:rFonts w:ascii="Segoe UI" w:eastAsia="Times New Roman" w:hAnsi="Segoe UI" w:cs="Segoe UI"/>
          <w:kern w:val="0"/>
          <w:sz w:val="21"/>
          <w:szCs w:val="21"/>
          <w14:ligatures w14:val="none"/>
        </w:rPr>
        <w:t xml:space="preserve"> To ingrain innovation further, Thomson Reuters might introduce metrics such as percentage of revenue from products launched in the last 3 years, or number of patents filed, and set targets to encourage each business unit to continuously refresh its offerings. This can be accompanied by incentive alignment – e.g., a portion of management bonuses tied to innovation outcomes (which could already be the case informally, but formalizing it underscores commitment). </w:t>
      </w:r>
    </w:p>
    <w:p w14:paraId="6E5D922C"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Long-term (18–36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Establish a Thomson Reuters Innovation Hub or Accelerator.</w:t>
      </w:r>
      <w:r w:rsidRPr="00EE3079">
        <w:rPr>
          <w:rFonts w:ascii="Segoe UI" w:eastAsia="Times New Roman" w:hAnsi="Segoe UI" w:cs="Segoe UI"/>
          <w:kern w:val="0"/>
          <w:sz w:val="21"/>
          <w:szCs w:val="21"/>
          <w14:ligatures w14:val="none"/>
        </w:rPr>
        <w:t xml:space="preserve"> Building on the new innovation center in Toronto</w:t>
      </w:r>
      <w:hyperlink r:id="rId225"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TR could launch an accelerator program where it incubates external startups or internal venture ideas aligned to strategic priorities. Over a </w:t>
      </w:r>
      <w:proofErr w:type="gramStart"/>
      <w:r w:rsidRPr="00EE3079">
        <w:rPr>
          <w:rFonts w:ascii="Segoe UI" w:eastAsia="Times New Roman" w:hAnsi="Segoe UI" w:cs="Segoe UI"/>
          <w:kern w:val="0"/>
          <w:sz w:val="21"/>
          <w:szCs w:val="21"/>
          <w14:ligatures w14:val="none"/>
        </w:rPr>
        <w:t>3-6 month</w:t>
      </w:r>
      <w:proofErr w:type="gramEnd"/>
      <w:r w:rsidRPr="00EE3079">
        <w:rPr>
          <w:rFonts w:ascii="Segoe UI" w:eastAsia="Times New Roman" w:hAnsi="Segoe UI" w:cs="Segoe UI"/>
          <w:kern w:val="0"/>
          <w:sz w:val="21"/>
          <w:szCs w:val="21"/>
          <w14:ligatures w14:val="none"/>
        </w:rPr>
        <w:t xml:space="preserve"> program, these startups or internal project teams would get funding, mentorship from TR experts, and access to TR data/API sandboxes to build new solutions. At program’s end, TR might integrate or even acquire those that show success. This keeps fresh ideas flowing and positions TR as a central player in its industry’s innovation ecosystem (attracting talent and partners). </w:t>
      </w:r>
    </w:p>
    <w:p w14:paraId="16BD8D82" w14:textId="77777777" w:rsidR="00EE3079" w:rsidRPr="00EE3079" w:rsidRDefault="00EE3079" w:rsidP="00EE307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Long-term:</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Moonshot projects.</w:t>
      </w:r>
      <w:r w:rsidRPr="00EE3079">
        <w:rPr>
          <w:rFonts w:ascii="Segoe UI" w:eastAsia="Times New Roman" w:hAnsi="Segoe UI" w:cs="Segoe UI"/>
          <w:kern w:val="0"/>
          <w:sz w:val="21"/>
          <w:szCs w:val="21"/>
          <w14:ligatures w14:val="none"/>
        </w:rPr>
        <w:t xml:space="preserve"> Allocate a small portion of R&amp;D resources to one or two “moonshot” initiatives – high-risk, high-reward projects that could redefine an aspect of the business. For example, an AI that could conduct an end-to-end audit with minimal human input, or a global platform that automatically monitors and advises on compliance in real-time for any corporation. These may not pay off immediately, but the pursuit can lead to spin-off innovations and signal to stakeholders that TR aims not just to keep up with change but to create it. Given TR’s stable financials, it can afford a few bold bets. </w:t>
      </w:r>
      <w:r w:rsidRPr="00EE3079">
        <w:rPr>
          <w:rFonts w:ascii="Segoe UI" w:eastAsia="Times New Roman" w:hAnsi="Segoe UI" w:cs="Segoe UI"/>
          <w:kern w:val="0"/>
          <w:sz w:val="21"/>
          <w:szCs w:val="21"/>
          <w14:ligatures w14:val="none"/>
        </w:rPr>
        <w:lastRenderedPageBreak/>
        <w:t xml:space="preserve">Ensuring these moonshots are pursued with clear stage gates and learning objectives will manage the risk. </w:t>
      </w:r>
    </w:p>
    <w:p w14:paraId="00EA80E2"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Information Gaps &amp; Research Recommendations:</w:t>
      </w:r>
      <w:r w:rsidRPr="00EE3079">
        <w:rPr>
          <w:rFonts w:ascii="Segoe UI" w:eastAsia="Times New Roman" w:hAnsi="Segoe UI" w:cs="Segoe UI"/>
          <w:kern w:val="0"/>
          <w:sz w:val="21"/>
          <w:szCs w:val="21"/>
          <w14:ligatures w14:val="none"/>
        </w:rPr>
        <w:t xml:space="preserve"> To sharpen the innovation strategy, a few gaps should be explored. First, </w:t>
      </w:r>
      <w:r w:rsidRPr="00EE3079">
        <w:rPr>
          <w:rFonts w:ascii="Segoe UI" w:eastAsia="Times New Roman" w:hAnsi="Segoe UI" w:cs="Segoe UI"/>
          <w:b/>
          <w:bCs/>
          <w:kern w:val="0"/>
          <w:sz w:val="21"/>
          <w:szCs w:val="21"/>
          <w14:ligatures w14:val="none"/>
        </w:rPr>
        <w:t>benchmark TR’s R&amp;D spending and output against peers</w:t>
      </w:r>
      <w:r w:rsidRPr="00EE3079">
        <w:rPr>
          <w:rFonts w:ascii="Segoe UI" w:eastAsia="Times New Roman" w:hAnsi="Segoe UI" w:cs="Segoe UI"/>
          <w:kern w:val="0"/>
          <w:sz w:val="21"/>
          <w:szCs w:val="21"/>
          <w14:ligatures w14:val="none"/>
        </w:rPr>
        <w:t xml:space="preserve">. What percentage of revenue is TR plowing back into R&amp;D compared to RELX or Wolters Kluwer? How many new product features or patents per year? If TR lags in any quantitative metric, it may justify increasing investment or refocusing efforts. Conversely, if TR is ahead, that’s a competitive strength to communicate. Second, gather data on </w:t>
      </w:r>
      <w:r w:rsidRPr="00EE3079">
        <w:rPr>
          <w:rFonts w:ascii="Segoe UI" w:eastAsia="Times New Roman" w:hAnsi="Segoe UI" w:cs="Segoe UI"/>
          <w:b/>
          <w:bCs/>
          <w:kern w:val="0"/>
          <w:sz w:val="21"/>
          <w:szCs w:val="21"/>
          <w14:ligatures w14:val="none"/>
        </w:rPr>
        <w:t>innovation conversion rate</w:t>
      </w:r>
      <w:r w:rsidRPr="00EE3079">
        <w:rPr>
          <w:rFonts w:ascii="Segoe UI" w:eastAsia="Times New Roman" w:hAnsi="Segoe UI" w:cs="Segoe UI"/>
          <w:kern w:val="0"/>
          <w:sz w:val="21"/>
          <w:szCs w:val="21"/>
          <w14:ligatures w14:val="none"/>
        </w:rPr>
        <w:t xml:space="preserve"> – out of ideas prototyped (in Labs or hackathons), how many </w:t>
      </w:r>
      <w:proofErr w:type="gramStart"/>
      <w:r w:rsidRPr="00EE3079">
        <w:rPr>
          <w:rFonts w:ascii="Segoe UI" w:eastAsia="Times New Roman" w:hAnsi="Segoe UI" w:cs="Segoe UI"/>
          <w:kern w:val="0"/>
          <w:sz w:val="21"/>
          <w:szCs w:val="21"/>
          <w14:ligatures w14:val="none"/>
        </w:rPr>
        <w:t>actually reach</w:t>
      </w:r>
      <w:proofErr w:type="gramEnd"/>
      <w:r w:rsidRPr="00EE3079">
        <w:rPr>
          <w:rFonts w:ascii="Segoe UI" w:eastAsia="Times New Roman" w:hAnsi="Segoe UI" w:cs="Segoe UI"/>
          <w:kern w:val="0"/>
          <w:sz w:val="21"/>
          <w:szCs w:val="21"/>
          <w14:ligatures w14:val="none"/>
        </w:rPr>
        <w:t xml:space="preserve"> customers and generate revenue? If that rate is low, examine why (e.g., are some innovations solving problems too far ahead of market readiness, or do they stall in internal handoffs?). Conducting a retrospective on a sample of past Lab projects (successes and failures) with the involved teams could yield lessons on how to improve the incubation-to-commercialization process. Third, </w:t>
      </w:r>
      <w:r w:rsidRPr="00EE3079">
        <w:rPr>
          <w:rFonts w:ascii="Segoe UI" w:eastAsia="Times New Roman" w:hAnsi="Segoe UI" w:cs="Segoe UI"/>
          <w:b/>
          <w:bCs/>
          <w:kern w:val="0"/>
          <w:sz w:val="21"/>
          <w:szCs w:val="21"/>
          <w14:ligatures w14:val="none"/>
        </w:rPr>
        <w:t>assess the venture portfolio performance</w:t>
      </w:r>
      <w:r w:rsidRPr="00EE3079">
        <w:rPr>
          <w:rFonts w:ascii="Segoe UI" w:eastAsia="Times New Roman" w:hAnsi="Segoe UI" w:cs="Segoe UI"/>
          <w:kern w:val="0"/>
          <w:sz w:val="21"/>
          <w:szCs w:val="21"/>
          <w14:ligatures w14:val="none"/>
        </w:rPr>
        <w:t xml:space="preserve">: beyond anecdotal successes like Materia or </w:t>
      </w:r>
      <w:proofErr w:type="spellStart"/>
      <w:r w:rsidRPr="00EE3079">
        <w:rPr>
          <w:rFonts w:ascii="Segoe UI" w:eastAsia="Times New Roman" w:hAnsi="Segoe UI" w:cs="Segoe UI"/>
          <w:kern w:val="0"/>
          <w:sz w:val="21"/>
          <w:szCs w:val="21"/>
          <w14:ligatures w14:val="none"/>
        </w:rPr>
        <w:t>Truewind</w:t>
      </w:r>
      <w:proofErr w:type="spellEnd"/>
      <w:r>
        <w:fldChar w:fldCharType="begin"/>
      </w:r>
      <w:r>
        <w:instrText>HYPERLINK "https://www.cpapracticeadvisor.com/2025/02/10/thomson-reuters-announces-new-150m-corporate-venture-capital-fund/155782/"</w:instrText>
      </w:r>
      <w:r>
        <w:fldChar w:fldCharType="separate"/>
      </w:r>
      <w:r w:rsidRPr="00EE3079">
        <w:rPr>
          <w:rFonts w:ascii="Segoe UI" w:eastAsia="Times New Roman" w:hAnsi="Segoe UI" w:cs="Segoe UI"/>
          <w:color w:val="464FEB"/>
          <w:kern w:val="0"/>
          <w:sz w:val="21"/>
          <w:szCs w:val="21"/>
          <w14:ligatures w14:val="none"/>
        </w:rPr>
        <w:t>[2]</w:t>
      </w:r>
      <w:r>
        <w:fldChar w:fldCharType="end"/>
      </w:r>
      <w:r w:rsidRPr="00EE3079">
        <w:rPr>
          <w:rFonts w:ascii="Segoe UI" w:eastAsia="Times New Roman" w:hAnsi="Segoe UI" w:cs="Segoe UI"/>
          <w:kern w:val="0"/>
          <w:sz w:val="21"/>
          <w:szCs w:val="21"/>
          <w14:ligatures w14:val="none"/>
        </w:rPr>
        <w:t xml:space="preserve">, a holistic review of the first fund’s 23 investments – how many have grown, which led to partnership or product enhancements – will inform if TR Ventures is targeting the right areas or if adjustments in focus are needed for Fund 2. It may be beneficial to bring in an external innovation consultant to evaluate this, ensuring objectivity. Additionally, as generative AI and other tech evolve, TR should stay plugged into academia: establishing or continuing partnerships with universities (like sponsoring AI research labs or thesis projects on NLP, or hosting visiting scholars in TR Labs) could provide early access to breakthroughs. Keeping an eye on </w:t>
      </w:r>
      <w:r w:rsidRPr="00EE3079">
        <w:rPr>
          <w:rFonts w:ascii="Segoe UI" w:eastAsia="Times New Roman" w:hAnsi="Segoe UI" w:cs="Segoe UI"/>
          <w:b/>
          <w:bCs/>
          <w:kern w:val="0"/>
          <w:sz w:val="21"/>
          <w:szCs w:val="21"/>
          <w14:ligatures w14:val="none"/>
        </w:rPr>
        <w:t>patent filings and tech trends</w:t>
      </w:r>
      <w:r w:rsidRPr="00EE3079">
        <w:rPr>
          <w:rFonts w:ascii="Segoe UI" w:eastAsia="Times New Roman" w:hAnsi="Segoe UI" w:cs="Segoe UI"/>
          <w:kern w:val="0"/>
          <w:sz w:val="21"/>
          <w:szCs w:val="21"/>
          <w14:ligatures w14:val="none"/>
        </w:rPr>
        <w:t xml:space="preserve"> in adjacent industries might also inspire cross-industry innovation (for example, how is AI used in healthcare or finance that could apply to law/tax?). Finally, maintain an open feedback loop with employees on innovation – via surveys or town halls specifically about innovation culture. Do employees feel empowered to experiment? Do they understand how to bring an idea forward? This can highlight any cultural bottlenecks or training needs (e.g., more design thinking workshops). Filling these information gaps will help Thomson Reuters calibrate its R&amp;D efforts to be even more effective, ensuring that its innovation engine not only hums internally but directly fuels transformative outcomes in the marketplace. </w:t>
      </w:r>
    </w:p>
    <w:p w14:paraId="3F5F0A9C"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Summary:</w:t>
      </w:r>
      <w:r w:rsidRPr="00EE3079">
        <w:rPr>
          <w:rFonts w:ascii="Segoe UI" w:eastAsia="Times New Roman" w:hAnsi="Segoe UI" w:cs="Segoe UI"/>
          <w:kern w:val="0"/>
          <w:sz w:val="21"/>
          <w:szCs w:val="21"/>
          <w14:ligatures w14:val="none"/>
        </w:rPr>
        <w:t xml:space="preserve"> Thomson Reuters stands out for the depth and breadth of its innovation infrastructure, which has become a cornerstone of its transformation. With a storied Labs division, strategic bets on startups, and internal programs that encourage every employee to innovate, the company has both the creative sparks and the executional machinery to continually reinvent its offerings. This high readiness in R&amp;D means that as new challenges or opportunities arise – be it a sudden advancement in AI or a shift in customer needs – Thomson Reuters is positioned to respond proactively with new solutions. The minor improvements needed (faster integration of new ideas and relentless focus on customer value) are well within reach given leadership’s commitment to innovation as a strategic imperative. In essence, TR’s transformation is not a one-time project but an ongoing evolution – one fueled by a robust pipeline of innovation that ensures the company can adapt, and even lead, in the dynamic landscape of professional information services. </w:t>
      </w:r>
    </w:p>
    <w:p w14:paraId="3C26D877" w14:textId="77777777" w:rsidR="00EE3079" w:rsidRPr="00EE3079" w:rsidRDefault="00AF5BFA" w:rsidP="00EE3079">
      <w:pPr>
        <w:spacing w:after="0" w:line="300" w:lineRule="atLeast"/>
        <w:rPr>
          <w:rFonts w:ascii="Segoe UI" w:eastAsia="Times New Roman" w:hAnsi="Segoe UI" w:cs="Segoe UI"/>
          <w:kern w:val="0"/>
          <w:sz w:val="21"/>
          <w:szCs w:val="21"/>
          <w14:ligatures w14:val="none"/>
        </w:rPr>
      </w:pPr>
      <w:r>
        <w:rPr>
          <w:noProof/>
        </w:rPr>
      </w:r>
      <w:r w:rsidR="00AF5BFA">
        <w:rPr>
          <w:noProof/>
        </w:rPr>
        <w:pict w14:anchorId="1B0F89D7">
          <v:rect id="Horizontal Line 39" o:spid="_x0000_s1030"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B31B6" w14:textId="77777777" w:rsidR="00EE3079" w:rsidRPr="00EE3079" w:rsidRDefault="00EE3079" w:rsidP="00EE307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E3079">
        <w:rPr>
          <w:rFonts w:ascii="Segoe UI" w:eastAsia="Times New Roman" w:hAnsi="Segoe UI" w:cs="Segoe UI"/>
          <w:b/>
          <w:bCs/>
          <w:kern w:val="0"/>
          <w:sz w:val="36"/>
          <w:szCs w:val="36"/>
          <w14:ligatures w14:val="none"/>
        </w:rPr>
        <w:t>ORGANIZATIONAL CULTURE &amp; CHANGE MANAGEMENT READINESS</w:t>
      </w:r>
    </w:p>
    <w:p w14:paraId="14BEDCD9"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Assessment:</w:t>
      </w:r>
      <w:r w:rsidRPr="00EE3079">
        <w:rPr>
          <w:rFonts w:ascii="Segoe UI" w:eastAsia="Times New Roman" w:hAnsi="Segoe UI" w:cs="Segoe UI"/>
          <w:kern w:val="0"/>
          <w:sz w:val="21"/>
          <w:szCs w:val="21"/>
          <w14:ligatures w14:val="none"/>
        </w:rPr>
        <w:t xml:space="preserve"> The cultural and change management dimension of Thomson Reuters’ transformation is highly advanced, characterized by strong leadership support, comprehensive employee engagement programs, and a clear narrative that links change to the company’s core values (Rating: </w:t>
      </w:r>
      <w:r w:rsidRPr="00EE3079">
        <w:rPr>
          <w:rFonts w:ascii="Segoe UI" w:eastAsia="Times New Roman" w:hAnsi="Segoe UI" w:cs="Segoe UI"/>
          <w:b/>
          <w:bCs/>
          <w:kern w:val="0"/>
          <w:sz w:val="21"/>
          <w:szCs w:val="21"/>
          <w14:ligatures w14:val="none"/>
        </w:rPr>
        <w:t>4/5</w:t>
      </w:r>
      <w:r w:rsidRPr="00EE3079">
        <w:rPr>
          <w:rFonts w:ascii="Segoe UI" w:eastAsia="Times New Roman" w:hAnsi="Segoe UI" w:cs="Segoe UI"/>
          <w:kern w:val="0"/>
          <w:sz w:val="21"/>
          <w:szCs w:val="21"/>
          <w14:ligatures w14:val="none"/>
        </w:rPr>
        <w:t>). Over the past few years, TR has deliberately crafted a culture that embraces innovation and continuous learning while preserving the trust and integrity that define its brand</w:t>
      </w:r>
      <w:hyperlink r:id="rId226" w:history="1">
        <w:r w:rsidRPr="00EE3079">
          <w:rPr>
            <w:rFonts w:ascii="Segoe UI" w:eastAsia="Times New Roman" w:hAnsi="Segoe UI" w:cs="Segoe UI"/>
            <w:color w:val="464FEB"/>
            <w:kern w:val="0"/>
            <w:sz w:val="21"/>
            <w:szCs w:val="21"/>
            <w14:ligatures w14:val="none"/>
          </w:rPr>
          <w:t>[1]</w:t>
        </w:r>
      </w:hyperlink>
      <w:hyperlink r:id="rId227"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A hallmark of this is the “Four T’s” framework championed by the Chief People Officer – </w:t>
      </w:r>
      <w:r w:rsidRPr="00EE3079">
        <w:rPr>
          <w:rFonts w:ascii="Segoe UI" w:eastAsia="Times New Roman" w:hAnsi="Segoe UI" w:cs="Segoe UI"/>
          <w:b/>
          <w:bCs/>
          <w:kern w:val="0"/>
          <w:sz w:val="21"/>
          <w:szCs w:val="21"/>
          <w14:ligatures w14:val="none"/>
        </w:rPr>
        <w:t>Tone, Training, Tools, and Time</w:t>
      </w:r>
      <w:r w:rsidRPr="00EE3079">
        <w:rPr>
          <w:rFonts w:ascii="Segoe UI" w:eastAsia="Times New Roman" w:hAnsi="Segoe UI" w:cs="Segoe UI"/>
          <w:kern w:val="0"/>
          <w:sz w:val="21"/>
          <w:szCs w:val="21"/>
          <w14:ligatures w14:val="none"/>
        </w:rPr>
        <w:t xml:space="preserve"> – which has effectively guided the workforce through the adoption of new technologies (especially AI) and new ways of working</w:t>
      </w:r>
      <w:hyperlink r:id="rId228"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By setting the </w:t>
      </w:r>
      <w:r w:rsidRPr="00EE3079">
        <w:rPr>
          <w:rFonts w:ascii="Segoe UI" w:eastAsia="Times New Roman" w:hAnsi="Segoe UI" w:cs="Segoe UI"/>
          <w:kern w:val="0"/>
          <w:sz w:val="21"/>
          <w:szCs w:val="21"/>
          <w14:ligatures w14:val="none"/>
        </w:rPr>
        <w:lastRenderedPageBreak/>
        <w:t>right tone from the top and following through with extensive training and hands-on tools, Thomson Reuters has significantly reduced employee anxiety around change, replacing it with curiosity and engagement. The company’s change management maturity is evident in metrics: As of late 2024, nearly half of employees actively use generative AI in their daily work</w:t>
      </w:r>
      <w:hyperlink r:id="rId229" w:history="1">
        <w:r w:rsidRPr="00EE3079">
          <w:rPr>
            <w:rFonts w:ascii="Segoe UI" w:eastAsia="Times New Roman" w:hAnsi="Segoe UI" w:cs="Segoe UI"/>
            <w:color w:val="464FEB"/>
            <w:kern w:val="0"/>
            <w:sz w:val="21"/>
            <w:szCs w:val="21"/>
            <w14:ligatures w14:val="none"/>
          </w:rPr>
          <w:t>[5]</w:t>
        </w:r>
      </w:hyperlink>
      <w:hyperlink r:id="rId230"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and internal surveys and external awards indicate employees feel increasingly positive about the company during this transformation (e.g., Great Place to Work certifications in multiple countries in 2023)</w:t>
      </w:r>
      <w:hyperlink r:id="rId231" w:history="1">
        <w:r w:rsidRPr="00EE3079">
          <w:rPr>
            <w:rFonts w:ascii="Segoe UI" w:eastAsia="Times New Roman" w:hAnsi="Segoe UI" w:cs="Segoe UI"/>
            <w:color w:val="464FEB"/>
            <w:kern w:val="0"/>
            <w:sz w:val="21"/>
            <w:szCs w:val="21"/>
            <w14:ligatures w14:val="none"/>
          </w:rPr>
          <w:t>[1]</w:t>
        </w:r>
      </w:hyperlink>
      <w:hyperlink r:id="rId232"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The minor deduction in score reflects the reality that cultural transformation is never “done” – sustaining momentum and continuing to reach pockets of resistance or fatigue require ongoing effort. Nonetheless, Thomson Reuters has built a change-ready culture that many of its peers would envy, making it well-prepared to carry out and sustain an end-to-end reimagination of its business. </w:t>
      </w:r>
    </w:p>
    <w:p w14:paraId="792B407A"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Key Internal Findings:</w:t>
      </w:r>
      <w:r w:rsidRPr="00EE3079">
        <w:rPr>
          <w:rFonts w:ascii="Segoe UI" w:eastAsia="Times New Roman" w:hAnsi="Segoe UI" w:cs="Segoe UI"/>
          <w:kern w:val="0"/>
          <w:sz w:val="21"/>
          <w:szCs w:val="21"/>
          <w14:ligatures w14:val="none"/>
        </w:rPr>
        <w:t xml:space="preserve"> Internally, one of the most important findings was that </w:t>
      </w:r>
      <w:r w:rsidRPr="00EE3079">
        <w:rPr>
          <w:rFonts w:ascii="Segoe UI" w:eastAsia="Times New Roman" w:hAnsi="Segoe UI" w:cs="Segoe UI"/>
          <w:b/>
          <w:bCs/>
          <w:kern w:val="0"/>
          <w:sz w:val="21"/>
          <w:szCs w:val="21"/>
          <w14:ligatures w14:val="none"/>
        </w:rPr>
        <w:t>visible and consistent leadership commitment (Tone from the Top)</w:t>
      </w:r>
      <w:r w:rsidRPr="00EE3079">
        <w:rPr>
          <w:rFonts w:ascii="Segoe UI" w:eastAsia="Times New Roman" w:hAnsi="Segoe UI" w:cs="Segoe UI"/>
          <w:kern w:val="0"/>
          <w:sz w:val="21"/>
          <w:szCs w:val="21"/>
          <w14:ligatures w14:val="none"/>
        </w:rPr>
        <w:t xml:space="preserve"> is the linchpin of successful change. Thomson Reuters’ executive team, led by CEO Steve Hasker, set a clear expectation that the company is entering a new era as a “content-driven technology organization” and that every employee has a role in this journey</w:t>
      </w:r>
      <w:hyperlink r:id="rId233" w:history="1">
        <w:r w:rsidRPr="00EE3079">
          <w:rPr>
            <w:rFonts w:ascii="Segoe UI" w:eastAsia="Times New Roman" w:hAnsi="Segoe UI" w:cs="Segoe UI"/>
            <w:color w:val="464FEB"/>
            <w:kern w:val="0"/>
            <w:sz w:val="21"/>
            <w:szCs w:val="21"/>
            <w14:ligatures w14:val="none"/>
          </w:rPr>
          <w:t>[5]</w:t>
        </w:r>
      </w:hyperlink>
      <w:hyperlink r:id="rId234"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This message was delivered repeatedly at company-wide events (for instance, at the first Global Learning Day in April 2023, Hasker emphasized the criticality of developing AI skills, directly aligning it with the company’s future)</w:t>
      </w:r>
      <w:hyperlink r:id="rId235" w:history="1">
        <w:r w:rsidRPr="00EE3079">
          <w:rPr>
            <w:rFonts w:ascii="Segoe UI" w:eastAsia="Times New Roman" w:hAnsi="Segoe UI" w:cs="Segoe UI"/>
            <w:color w:val="464FEB"/>
            <w:kern w:val="0"/>
            <w:sz w:val="21"/>
            <w:szCs w:val="21"/>
            <w14:ligatures w14:val="none"/>
          </w:rPr>
          <w:t>[5]</w:t>
        </w:r>
      </w:hyperlink>
      <w:hyperlink r:id="rId236"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Another key finding was the need to </w:t>
      </w:r>
      <w:r w:rsidRPr="00EE3079">
        <w:rPr>
          <w:rFonts w:ascii="Segoe UI" w:eastAsia="Times New Roman" w:hAnsi="Segoe UI" w:cs="Segoe UI"/>
          <w:b/>
          <w:bCs/>
          <w:kern w:val="0"/>
          <w:sz w:val="21"/>
          <w:szCs w:val="21"/>
          <w14:ligatures w14:val="none"/>
        </w:rPr>
        <w:t>address fear and hesitancy head-on with facts and support</w:t>
      </w:r>
      <w:r w:rsidRPr="00EE3079">
        <w:rPr>
          <w:rFonts w:ascii="Segoe UI" w:eastAsia="Times New Roman" w:hAnsi="Segoe UI" w:cs="Segoe UI"/>
          <w:kern w:val="0"/>
          <w:sz w:val="21"/>
          <w:szCs w:val="21"/>
          <w14:ligatures w14:val="none"/>
        </w:rPr>
        <w:t>. Early on, management recognized that some employees were anxious about AI or process changes – concerns about job displacement or the steepness of the learning curve were common. In response, the CPO Mary Alice Vuicic and CTO Kirsty Roth rolled out a multi-faceted change program that combined robust communication with practical upskilling. They launched an internal campaign to shift the mindset “from hesitation to curiosity,” clearly stating that “AI does not replace jobs, it replaces tasks” and that freed-up capacity would be reinvested in innovation</w:t>
      </w:r>
      <w:hyperlink r:id="rId237" w:history="1">
        <w:r w:rsidRPr="00EE3079">
          <w:rPr>
            <w:rFonts w:ascii="Segoe UI" w:eastAsia="Times New Roman" w:hAnsi="Segoe UI" w:cs="Segoe UI"/>
            <w:color w:val="464FEB"/>
            <w:kern w:val="0"/>
            <w:sz w:val="21"/>
            <w:szCs w:val="21"/>
            <w14:ligatures w14:val="none"/>
          </w:rPr>
          <w:t>[5]</w:t>
        </w:r>
      </w:hyperlink>
      <w:hyperlink r:id="rId238"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At the same time, they gave employees the </w:t>
      </w:r>
      <w:r w:rsidRPr="00EE3079">
        <w:rPr>
          <w:rFonts w:ascii="Segoe UI" w:eastAsia="Times New Roman" w:hAnsi="Segoe UI" w:cs="Segoe UI"/>
          <w:b/>
          <w:bCs/>
          <w:kern w:val="0"/>
          <w:sz w:val="21"/>
          <w:szCs w:val="21"/>
          <w14:ligatures w14:val="none"/>
        </w:rPr>
        <w:t>tools and training</w:t>
      </w:r>
      <w:r w:rsidRPr="00EE3079">
        <w:rPr>
          <w:rFonts w:ascii="Segoe UI" w:eastAsia="Times New Roman" w:hAnsi="Segoe UI" w:cs="Segoe UI"/>
          <w:kern w:val="0"/>
          <w:sz w:val="21"/>
          <w:szCs w:val="21"/>
          <w14:ligatures w14:val="none"/>
        </w:rPr>
        <w:t xml:space="preserve"> to see this for themselves: e.g., the company provided an </w:t>
      </w:r>
      <w:r w:rsidRPr="00EE3079">
        <w:rPr>
          <w:rFonts w:ascii="Segoe UI" w:eastAsia="Times New Roman" w:hAnsi="Segoe UI" w:cs="Segoe UI"/>
          <w:b/>
          <w:bCs/>
          <w:kern w:val="0"/>
          <w:sz w:val="21"/>
          <w:szCs w:val="21"/>
          <w14:ligatures w14:val="none"/>
        </w:rPr>
        <w:t>“Open Arena” sandbox</w:t>
      </w:r>
      <w:r w:rsidRPr="00EE3079">
        <w:rPr>
          <w:rFonts w:ascii="Segoe UI" w:eastAsia="Times New Roman" w:hAnsi="Segoe UI" w:cs="Segoe UI"/>
          <w:kern w:val="0"/>
          <w:sz w:val="21"/>
          <w:szCs w:val="21"/>
          <w14:ligatures w14:val="none"/>
        </w:rPr>
        <w:t xml:space="preserve"> of four large language models accessible to all staff to experiment safely</w:t>
      </w:r>
      <w:hyperlink r:id="rId239"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showing in a hands-on way how AI could make their work easier. This approach alleviated fear by empowering employees to play and learn without risk. The results were striking – over </w:t>
      </w:r>
      <w:r w:rsidRPr="00EE3079">
        <w:rPr>
          <w:rFonts w:ascii="Segoe UI" w:eastAsia="Times New Roman" w:hAnsi="Segoe UI" w:cs="Segoe UI"/>
          <w:b/>
          <w:bCs/>
          <w:kern w:val="0"/>
          <w:sz w:val="21"/>
          <w:szCs w:val="21"/>
          <w14:ligatures w14:val="none"/>
        </w:rPr>
        <w:t>11,000 employees completed an AI Foundations training course</w:t>
      </w:r>
      <w:r w:rsidRPr="00EE3079">
        <w:rPr>
          <w:rFonts w:ascii="Segoe UI" w:eastAsia="Times New Roman" w:hAnsi="Segoe UI" w:cs="Segoe UI"/>
          <w:kern w:val="0"/>
          <w:sz w:val="21"/>
          <w:szCs w:val="21"/>
          <w14:ligatures w14:val="none"/>
        </w:rPr>
        <w:t xml:space="preserve"> (voluntarily, not just mandated) by late 2024, and an internal poll showed many found AI eliminated drudge work from their day</w:t>
      </w:r>
      <w:hyperlink r:id="rId240" w:history="1">
        <w:r w:rsidRPr="00EE3079">
          <w:rPr>
            <w:rFonts w:ascii="Segoe UI" w:eastAsia="Times New Roman" w:hAnsi="Segoe UI" w:cs="Segoe UI"/>
            <w:color w:val="464FEB"/>
            <w:kern w:val="0"/>
            <w:sz w:val="21"/>
            <w:szCs w:val="21"/>
            <w14:ligatures w14:val="none"/>
          </w:rPr>
          <w:t>[5]</w:t>
        </w:r>
      </w:hyperlink>
      <w:hyperlink r:id="rId241"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Culturally, TR also tapped into its long-held </w:t>
      </w:r>
      <w:r w:rsidRPr="00EE3079">
        <w:rPr>
          <w:rFonts w:ascii="Segoe UI" w:eastAsia="Times New Roman" w:hAnsi="Segoe UI" w:cs="Segoe UI"/>
          <w:b/>
          <w:bCs/>
          <w:kern w:val="0"/>
          <w:sz w:val="21"/>
          <w:szCs w:val="21"/>
          <w14:ligatures w14:val="none"/>
        </w:rPr>
        <w:t>Trust Principles</w:t>
      </w:r>
      <w:r w:rsidRPr="00EE3079">
        <w:rPr>
          <w:rFonts w:ascii="Segoe UI" w:eastAsia="Times New Roman" w:hAnsi="Segoe UI" w:cs="Segoe UI"/>
          <w:kern w:val="0"/>
          <w:sz w:val="21"/>
          <w:szCs w:val="21"/>
          <w14:ligatures w14:val="none"/>
        </w:rPr>
        <w:t xml:space="preserve"> (emphasizing integrity, independence, freedom from bias) as a stabilizing anchor amid change</w:t>
      </w:r>
      <w:hyperlink r:id="rId242" w:history="1">
        <w:r w:rsidRPr="00EE3079">
          <w:rPr>
            <w:rFonts w:ascii="Segoe UI" w:eastAsia="Times New Roman" w:hAnsi="Segoe UI" w:cs="Segoe UI"/>
            <w:color w:val="464FEB"/>
            <w:kern w:val="0"/>
            <w:sz w:val="21"/>
            <w:szCs w:val="21"/>
            <w14:ligatures w14:val="none"/>
          </w:rPr>
          <w:t>[1]</w:t>
        </w:r>
      </w:hyperlink>
      <w:hyperlink r:id="rId243"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Employees take pride in these principles, so leadership continuously framed the transformation as an evolution that </w:t>
      </w:r>
      <w:r w:rsidRPr="00EE3079">
        <w:rPr>
          <w:rFonts w:ascii="Segoe UI" w:eastAsia="Times New Roman" w:hAnsi="Segoe UI" w:cs="Segoe UI"/>
          <w:i/>
          <w:iCs/>
          <w:kern w:val="0"/>
          <w:sz w:val="21"/>
          <w:szCs w:val="21"/>
          <w14:ligatures w14:val="none"/>
        </w:rPr>
        <w:t>reinforces</w:t>
      </w:r>
      <w:r w:rsidRPr="00EE3079">
        <w:rPr>
          <w:rFonts w:ascii="Segoe UI" w:eastAsia="Times New Roman" w:hAnsi="Segoe UI" w:cs="Segoe UI"/>
          <w:kern w:val="0"/>
          <w:sz w:val="21"/>
          <w:szCs w:val="21"/>
          <w14:ligatures w14:val="none"/>
        </w:rPr>
        <w:t xml:space="preserve"> trust (e.g., “We are adopting AI </w:t>
      </w:r>
      <w:r w:rsidRPr="00EE3079">
        <w:rPr>
          <w:rFonts w:ascii="Segoe UI" w:eastAsia="Times New Roman" w:hAnsi="Segoe UI" w:cs="Segoe UI"/>
          <w:i/>
          <w:iCs/>
          <w:kern w:val="0"/>
          <w:sz w:val="21"/>
          <w:szCs w:val="21"/>
          <w14:ligatures w14:val="none"/>
        </w:rPr>
        <w:t>responsibly</w:t>
      </w:r>
      <w:r w:rsidRPr="00EE3079">
        <w:rPr>
          <w:rFonts w:ascii="Segoe UI" w:eastAsia="Times New Roman" w:hAnsi="Segoe UI" w:cs="Segoe UI"/>
          <w:kern w:val="0"/>
          <w:sz w:val="21"/>
          <w:szCs w:val="21"/>
          <w14:ligatures w14:val="none"/>
        </w:rPr>
        <w:t xml:space="preserve"> to continue delivering trusted answers”). This linkage helped employees see change not as threatening the company’s identity, but as upholding it in new ways. Another finding centered on engagement at all levels: </w:t>
      </w:r>
      <w:r w:rsidRPr="00EE3079">
        <w:rPr>
          <w:rFonts w:ascii="Segoe UI" w:eastAsia="Times New Roman" w:hAnsi="Segoe UI" w:cs="Segoe UI"/>
          <w:b/>
          <w:bCs/>
          <w:kern w:val="0"/>
          <w:sz w:val="21"/>
          <w:szCs w:val="21"/>
          <w14:ligatures w14:val="none"/>
        </w:rPr>
        <w:t>peer advocacy networks amplify change adoption</w:t>
      </w:r>
      <w:r w:rsidRPr="00EE3079">
        <w:rPr>
          <w:rFonts w:ascii="Segoe UI" w:eastAsia="Times New Roman" w:hAnsi="Segoe UI" w:cs="Segoe UI"/>
          <w:kern w:val="0"/>
          <w:sz w:val="21"/>
          <w:szCs w:val="21"/>
          <w14:ligatures w14:val="none"/>
        </w:rPr>
        <w:t xml:space="preserve">. TR created an </w:t>
      </w:r>
      <w:r w:rsidRPr="00EE3079">
        <w:rPr>
          <w:rFonts w:ascii="Segoe UI" w:eastAsia="Times New Roman" w:hAnsi="Segoe UI" w:cs="Segoe UI"/>
          <w:b/>
          <w:bCs/>
          <w:kern w:val="0"/>
          <w:sz w:val="21"/>
          <w:szCs w:val="21"/>
          <w14:ligatures w14:val="none"/>
        </w:rPr>
        <w:t>“AI Champions” network of 400 enthusiasts across all departments and seniorities</w:t>
      </w:r>
      <w:r w:rsidRPr="00EE3079">
        <w:rPr>
          <w:rFonts w:ascii="Segoe UI" w:eastAsia="Times New Roman" w:hAnsi="Segoe UI" w:cs="Segoe UI"/>
          <w:kern w:val="0"/>
          <w:sz w:val="21"/>
          <w:szCs w:val="21"/>
          <w14:ligatures w14:val="none"/>
        </w:rPr>
        <w:t xml:space="preserve"> to promote everyday use of new tools and share best practices with colleagues</w:t>
      </w:r>
      <w:hyperlink r:id="rId244" w:history="1">
        <w:r w:rsidRPr="00EE3079">
          <w:rPr>
            <w:rFonts w:ascii="Segoe UI" w:eastAsia="Times New Roman" w:hAnsi="Segoe UI" w:cs="Segoe UI"/>
            <w:color w:val="464FEB"/>
            <w:kern w:val="0"/>
            <w:sz w:val="21"/>
            <w:szCs w:val="21"/>
            <w14:ligatures w14:val="none"/>
          </w:rPr>
          <w:t>[5]</w:t>
        </w:r>
      </w:hyperlink>
      <w:hyperlink r:id="rId245"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Similarly, they identified </w:t>
      </w:r>
      <w:r w:rsidRPr="00EE3079">
        <w:rPr>
          <w:rFonts w:ascii="Segoe UI" w:eastAsia="Times New Roman" w:hAnsi="Segoe UI" w:cs="Segoe UI"/>
          <w:b/>
          <w:bCs/>
          <w:kern w:val="0"/>
          <w:sz w:val="21"/>
          <w:szCs w:val="21"/>
          <w14:ligatures w14:val="none"/>
        </w:rPr>
        <w:t>“integrators”</w:t>
      </w:r>
      <w:r w:rsidRPr="00EE3079">
        <w:rPr>
          <w:rFonts w:ascii="Segoe UI" w:eastAsia="Times New Roman" w:hAnsi="Segoe UI" w:cs="Segoe UI"/>
          <w:kern w:val="0"/>
          <w:sz w:val="21"/>
          <w:szCs w:val="21"/>
          <w14:ligatures w14:val="none"/>
        </w:rPr>
        <w:t xml:space="preserve"> (to embed AI into processes) and </w:t>
      </w:r>
      <w:r w:rsidRPr="00EE3079">
        <w:rPr>
          <w:rFonts w:ascii="Segoe UI" w:eastAsia="Times New Roman" w:hAnsi="Segoe UI" w:cs="Segoe UI"/>
          <w:b/>
          <w:bCs/>
          <w:kern w:val="0"/>
          <w:sz w:val="21"/>
          <w:szCs w:val="21"/>
          <w14:ligatures w14:val="none"/>
        </w:rPr>
        <w:t>“</w:t>
      </w:r>
      <w:proofErr w:type="spellStart"/>
      <w:r w:rsidRPr="00EE3079">
        <w:rPr>
          <w:rFonts w:ascii="Segoe UI" w:eastAsia="Times New Roman" w:hAnsi="Segoe UI" w:cs="Segoe UI"/>
          <w:b/>
          <w:bCs/>
          <w:kern w:val="0"/>
          <w:sz w:val="21"/>
          <w:szCs w:val="21"/>
          <w14:ligatures w14:val="none"/>
        </w:rPr>
        <w:t>reskillers</w:t>
      </w:r>
      <w:proofErr w:type="spellEnd"/>
      <w:r w:rsidRPr="00EE3079">
        <w:rPr>
          <w:rFonts w:ascii="Segoe UI" w:eastAsia="Times New Roman" w:hAnsi="Segoe UI" w:cs="Segoe UI"/>
          <w:b/>
          <w:bCs/>
          <w:kern w:val="0"/>
          <w:sz w:val="21"/>
          <w:szCs w:val="21"/>
          <w14:ligatures w14:val="none"/>
        </w:rPr>
        <w:t>”</w:t>
      </w:r>
      <w:r w:rsidRPr="00EE3079">
        <w:rPr>
          <w:rFonts w:ascii="Segoe UI" w:eastAsia="Times New Roman" w:hAnsi="Segoe UI" w:cs="Segoe UI"/>
          <w:kern w:val="0"/>
          <w:sz w:val="21"/>
          <w:szCs w:val="21"/>
          <w14:ligatures w14:val="none"/>
        </w:rPr>
        <w:t xml:space="preserve"> (to coach roles most affected by AI) to ensure that change was being driven not just top-down but also middle-out and bottom-up</w:t>
      </w:r>
      <w:hyperlink r:id="rId246"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This socialization meant that in team meetings around the world, it wasn’t unusual for a peer to demo a new dashboard or automation they built, inspiring others by example. On the broad culture front, Thomson Reuters has reinforced positive behaviors (e.g., collaboration, customer-focus, continual learning) through recognition programs and alignment of incentives. For example, teams that volunteered in internal hackathons or completed learning challenges received shout-outs in company newsletters, helping to normalize the idea that spending time on innovation and self-development is part of “how we work here.” Additionally, TR’s focus on diversity, equity, and inclusion – a strong element of its culture – dovetailed with change readiness by ensuring a wide range of voices are heard and empowered during transformation (BRGs – Business Resource Groups – provided feedback on change initiatives, ensuring they were inclusive). Overall, the internal findings boil down to a clear picture: Thomson Reuters understood that successful transformation would require </w:t>
      </w:r>
      <w:r w:rsidRPr="00EE3079">
        <w:rPr>
          <w:rFonts w:ascii="Segoe UI" w:eastAsia="Times New Roman" w:hAnsi="Segoe UI" w:cs="Segoe UI"/>
          <w:b/>
          <w:bCs/>
          <w:kern w:val="0"/>
          <w:sz w:val="21"/>
          <w:szCs w:val="21"/>
          <w14:ligatures w14:val="none"/>
        </w:rPr>
        <w:t>winning hearts and minds</w:t>
      </w:r>
      <w:r w:rsidRPr="00EE3079">
        <w:rPr>
          <w:rFonts w:ascii="Segoe UI" w:eastAsia="Times New Roman" w:hAnsi="Segoe UI" w:cs="Segoe UI"/>
          <w:kern w:val="0"/>
          <w:sz w:val="21"/>
          <w:szCs w:val="21"/>
          <w14:ligatures w14:val="none"/>
        </w:rPr>
        <w:t xml:space="preserve">, not just deploying new tech. By investing in communication, training, inclusive involvement, and aligning change with core values, TR has largely achieved an engaged workforce that is pulling in the same direction. </w:t>
      </w:r>
    </w:p>
    <w:p w14:paraId="0B558BC0"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lastRenderedPageBreak/>
        <w:t>AI Integration Context:</w:t>
      </w:r>
      <w:r w:rsidRPr="00EE3079">
        <w:rPr>
          <w:rFonts w:ascii="Segoe UI" w:eastAsia="Times New Roman" w:hAnsi="Segoe UI" w:cs="Segoe UI"/>
          <w:kern w:val="0"/>
          <w:sz w:val="21"/>
          <w:szCs w:val="21"/>
          <w14:ligatures w14:val="none"/>
        </w:rPr>
        <w:t xml:space="preserve"> Organizational culture and AI adoption at Thomson Reuters are deeply interwoven – the cultural shift was both a prerequisite and a result of the company’s AI integration strategy. Early in the transformation, leadership declared </w:t>
      </w:r>
      <w:r w:rsidRPr="00EE3079">
        <w:rPr>
          <w:rFonts w:ascii="Segoe UI" w:eastAsia="Times New Roman" w:hAnsi="Segoe UI" w:cs="Segoe UI"/>
          <w:b/>
          <w:bCs/>
          <w:kern w:val="0"/>
          <w:sz w:val="21"/>
          <w:szCs w:val="21"/>
          <w14:ligatures w14:val="none"/>
        </w:rPr>
        <w:t>“AI for colleagues”</w:t>
      </w:r>
      <w:r w:rsidRPr="00EE3079">
        <w:rPr>
          <w:rFonts w:ascii="Segoe UI" w:eastAsia="Times New Roman" w:hAnsi="Segoe UI" w:cs="Segoe UI"/>
          <w:kern w:val="0"/>
          <w:sz w:val="21"/>
          <w:szCs w:val="21"/>
          <w14:ligatures w14:val="none"/>
        </w:rPr>
        <w:t xml:space="preserve"> as equally important as “AI for customers”</w:t>
      </w:r>
      <w:hyperlink r:id="rId247" w:history="1">
        <w:r w:rsidRPr="00EE3079">
          <w:rPr>
            <w:rFonts w:ascii="Segoe UI" w:eastAsia="Times New Roman" w:hAnsi="Segoe UI" w:cs="Segoe UI"/>
            <w:color w:val="464FEB"/>
            <w:kern w:val="0"/>
            <w:sz w:val="21"/>
            <w:szCs w:val="21"/>
            <w14:ligatures w14:val="none"/>
          </w:rPr>
          <w:t>[5]</w:t>
        </w:r>
      </w:hyperlink>
      <w:hyperlink r:id="rId248"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This sent a powerful message that the company would not just sell AI-enabled </w:t>
      </w:r>
      <w:proofErr w:type="gramStart"/>
      <w:r w:rsidRPr="00EE3079">
        <w:rPr>
          <w:rFonts w:ascii="Segoe UI" w:eastAsia="Times New Roman" w:hAnsi="Segoe UI" w:cs="Segoe UI"/>
          <w:kern w:val="0"/>
          <w:sz w:val="21"/>
          <w:szCs w:val="21"/>
          <w14:ligatures w14:val="none"/>
        </w:rPr>
        <w:t>products, but</w:t>
      </w:r>
      <w:proofErr w:type="gramEnd"/>
      <w:r w:rsidRPr="00EE3079">
        <w:rPr>
          <w:rFonts w:ascii="Segoe UI" w:eastAsia="Times New Roman" w:hAnsi="Segoe UI" w:cs="Segoe UI"/>
          <w:kern w:val="0"/>
          <w:sz w:val="21"/>
          <w:szCs w:val="21"/>
          <w14:ligatures w14:val="none"/>
        </w:rPr>
        <w:t xml:space="preserve"> also use AI to make employees’ work more fulfilling and efficient. In practical terms, this meant weaving AI into daily routines in a non-threatening way. For instance, the Open Arena mentioned earlier allowed employees to try tasks like drafting emails or summarizing documents with gen AI, demystifying the technology and highlighting its usefulness</w:t>
      </w:r>
      <w:hyperlink r:id="rId249"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Culturally, this helped build an appreciation that AI is a tool to embrace, not an ominous black box. The change management team also incorporated AI into the change process itself: they used analytics to monitor adoption (e.g., tracking usage stats of internal AI tools by department to see where uptake was slower and might need more support)</w:t>
      </w:r>
      <w:hyperlink r:id="rId250" w:history="1">
        <w:r w:rsidRPr="00EE3079">
          <w:rPr>
            <w:rFonts w:ascii="Segoe UI" w:eastAsia="Times New Roman" w:hAnsi="Segoe UI" w:cs="Segoe UI"/>
            <w:color w:val="464FEB"/>
            <w:kern w:val="0"/>
            <w:sz w:val="21"/>
            <w:szCs w:val="21"/>
            <w14:ligatures w14:val="none"/>
          </w:rPr>
          <w:t>[5]</w:t>
        </w:r>
      </w:hyperlink>
      <w:hyperlink r:id="rId251"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They even leveraged sentiment analysis on employee feedback (using NLP to quickly synthesize open-ended survey responses about the transformation), demonstrating AI’s utility in understanding and improving culture. An important context is </w:t>
      </w:r>
      <w:r w:rsidRPr="00EE3079">
        <w:rPr>
          <w:rFonts w:ascii="Segoe UI" w:eastAsia="Times New Roman" w:hAnsi="Segoe UI" w:cs="Segoe UI"/>
          <w:b/>
          <w:bCs/>
          <w:kern w:val="0"/>
          <w:sz w:val="21"/>
          <w:szCs w:val="21"/>
          <w14:ligatures w14:val="none"/>
        </w:rPr>
        <w:t>skill transformation</w:t>
      </w:r>
      <w:r w:rsidRPr="00EE3079">
        <w:rPr>
          <w:rFonts w:ascii="Segoe UI" w:eastAsia="Times New Roman" w:hAnsi="Segoe UI" w:cs="Segoe UI"/>
          <w:kern w:val="0"/>
          <w:sz w:val="21"/>
          <w:szCs w:val="21"/>
          <w14:ligatures w14:val="none"/>
        </w:rPr>
        <w:t xml:space="preserve"> – TR’s culture of learning was turbocharged by the AI wave. The Global Learning Days became a flagship program, with the first one dedicated entirely to AI education for all staff</w:t>
      </w:r>
      <w:hyperlink r:id="rId252" w:history="1">
        <w:r w:rsidRPr="00EE3079">
          <w:rPr>
            <w:rFonts w:ascii="Segoe UI" w:eastAsia="Times New Roman" w:hAnsi="Segoe UI" w:cs="Segoe UI"/>
            <w:color w:val="464FEB"/>
            <w:kern w:val="0"/>
            <w:sz w:val="21"/>
            <w:szCs w:val="21"/>
            <w14:ligatures w14:val="none"/>
          </w:rPr>
          <w:t>[3]</w:t>
        </w:r>
      </w:hyperlink>
      <w:r w:rsidRPr="00EE3079">
        <w:rPr>
          <w:rFonts w:ascii="Segoe UI" w:eastAsia="Times New Roman" w:hAnsi="Segoe UI" w:cs="Segoe UI"/>
          <w:kern w:val="0"/>
          <w:sz w:val="21"/>
          <w:szCs w:val="21"/>
          <w14:ligatures w14:val="none"/>
        </w:rPr>
        <w:t xml:space="preserve">. Subsequent Learning Days also featured AI components, and these events were treated as company holidays for development, reinforcing that taking time to learn new technologies is a valued part of work. The company’s generous allotment of “Time” (the fourth T) for experimentation meant teams could spend a few hours a week automating a process or trying an AI API without fear of missing deadlines – in fact, such initiative was encouraged. This has begun to ingrain a culture of continuous improvement where employees spontaneously seek out ways to apply AI or other innovations to their tasks, then share those improvements. Additionally, TR’s approach to </w:t>
      </w:r>
      <w:r w:rsidRPr="00EE3079">
        <w:rPr>
          <w:rFonts w:ascii="Segoe UI" w:eastAsia="Times New Roman" w:hAnsi="Segoe UI" w:cs="Segoe UI"/>
          <w:b/>
          <w:bCs/>
          <w:kern w:val="0"/>
          <w:sz w:val="21"/>
          <w:szCs w:val="21"/>
          <w14:ligatures w14:val="none"/>
        </w:rPr>
        <w:t>AI governance has been part of cultural messaging</w:t>
      </w:r>
      <w:r w:rsidRPr="00EE3079">
        <w:rPr>
          <w:rFonts w:ascii="Segoe UI" w:eastAsia="Times New Roman" w:hAnsi="Segoe UI" w:cs="Segoe UI"/>
          <w:kern w:val="0"/>
          <w:sz w:val="21"/>
          <w:szCs w:val="21"/>
          <w14:ligatures w14:val="none"/>
        </w:rPr>
        <w:t xml:space="preserve">, which is critical in an organization built on trust. The CPO and CTO communicated clearly that using AI comes with </w:t>
      </w:r>
      <w:r w:rsidRPr="00EE3079">
        <w:rPr>
          <w:rFonts w:ascii="Segoe UI" w:eastAsia="Times New Roman" w:hAnsi="Segoe UI" w:cs="Segoe UI"/>
          <w:b/>
          <w:bCs/>
          <w:kern w:val="0"/>
          <w:sz w:val="21"/>
          <w:szCs w:val="21"/>
          <w14:ligatures w14:val="none"/>
        </w:rPr>
        <w:t>responsibility</w:t>
      </w:r>
      <w:r w:rsidRPr="00EE3079">
        <w:rPr>
          <w:rFonts w:ascii="Segoe UI" w:eastAsia="Times New Roman" w:hAnsi="Segoe UI" w:cs="Segoe UI"/>
          <w:kern w:val="0"/>
          <w:sz w:val="21"/>
          <w:szCs w:val="21"/>
          <w14:ligatures w14:val="none"/>
        </w:rPr>
        <w:t>: guidelines (updated in the Code of Conduct) on data privacy and avoiding public LLMs for work were disseminated and explained so that employees understand the “why” behind them</w:t>
      </w:r>
      <w:hyperlink r:id="rId253"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Far from being seen as restrictive, many employees appreciated that the company provided a safe, sanctioned environment for AI (like Open Arena) and clear ethics – it made them more confident in using the tools. This careful integration of AI into the fabric of work – through training, policies, and everyday tools – has catalyzed a broader culture of innovation. It’s now common in TR for cross-functional teams to form to solve a problem with automation or data (for example, a recent internal contest saw finance </w:t>
      </w:r>
      <w:proofErr w:type="gramStart"/>
      <w:r w:rsidRPr="00EE3079">
        <w:rPr>
          <w:rFonts w:ascii="Segoe UI" w:eastAsia="Times New Roman" w:hAnsi="Segoe UI" w:cs="Segoe UI"/>
          <w:kern w:val="0"/>
          <w:sz w:val="21"/>
          <w:szCs w:val="21"/>
          <w14:ligatures w14:val="none"/>
        </w:rPr>
        <w:t>analysts</w:t>
      </w:r>
      <w:proofErr w:type="gramEnd"/>
      <w:r w:rsidRPr="00EE3079">
        <w:rPr>
          <w:rFonts w:ascii="Segoe UI" w:eastAsia="Times New Roman" w:hAnsi="Segoe UI" w:cs="Segoe UI"/>
          <w:kern w:val="0"/>
          <w:sz w:val="21"/>
          <w:szCs w:val="21"/>
          <w14:ligatures w14:val="none"/>
        </w:rPr>
        <w:t xml:space="preserve"> partner with techies to build an AI that reconciles billing errors). Such cross-pollination was rarer a few years ago; it’s the cultural outgrowth of breaking silos and uniting around transformation goals. In summary, AI served as both subject and instrument of change management: it was the big new thing employees had to adapt to, </w:t>
      </w:r>
      <w:proofErr w:type="gramStart"/>
      <w:r w:rsidRPr="00EE3079">
        <w:rPr>
          <w:rFonts w:ascii="Segoe UI" w:eastAsia="Times New Roman" w:hAnsi="Segoe UI" w:cs="Segoe UI"/>
          <w:kern w:val="0"/>
          <w:sz w:val="21"/>
          <w:szCs w:val="21"/>
          <w14:ligatures w14:val="none"/>
        </w:rPr>
        <w:t>and also</w:t>
      </w:r>
      <w:proofErr w:type="gramEnd"/>
      <w:r w:rsidRPr="00EE3079">
        <w:rPr>
          <w:rFonts w:ascii="Segoe UI" w:eastAsia="Times New Roman" w:hAnsi="Segoe UI" w:cs="Segoe UI"/>
          <w:kern w:val="0"/>
          <w:sz w:val="21"/>
          <w:szCs w:val="21"/>
          <w14:ligatures w14:val="none"/>
        </w:rPr>
        <w:t xml:space="preserve"> </w:t>
      </w:r>
      <w:proofErr w:type="gramStart"/>
      <w:r w:rsidRPr="00EE3079">
        <w:rPr>
          <w:rFonts w:ascii="Segoe UI" w:eastAsia="Times New Roman" w:hAnsi="Segoe UI" w:cs="Segoe UI"/>
          <w:kern w:val="0"/>
          <w:sz w:val="21"/>
          <w:szCs w:val="21"/>
          <w14:ligatures w14:val="none"/>
        </w:rPr>
        <w:t>the means by which</w:t>
      </w:r>
      <w:proofErr w:type="gramEnd"/>
      <w:r w:rsidRPr="00EE3079">
        <w:rPr>
          <w:rFonts w:ascii="Segoe UI" w:eastAsia="Times New Roman" w:hAnsi="Segoe UI" w:cs="Segoe UI"/>
          <w:kern w:val="0"/>
          <w:sz w:val="21"/>
          <w:szCs w:val="21"/>
          <w14:ligatures w14:val="none"/>
        </w:rPr>
        <w:t xml:space="preserve"> TR’s culture evolved toward agility and experimentation. The company’s deliberate strategy to humanize AI – through transparency, training, and ethical use – has paid off in a workforce that largely views AI as “empowering” rather than “threatening”, a crucial mindset </w:t>
      </w:r>
      <w:proofErr w:type="gramStart"/>
      <w:r w:rsidRPr="00EE3079">
        <w:rPr>
          <w:rFonts w:ascii="Segoe UI" w:eastAsia="Times New Roman" w:hAnsi="Segoe UI" w:cs="Segoe UI"/>
          <w:kern w:val="0"/>
          <w:sz w:val="21"/>
          <w:szCs w:val="21"/>
          <w14:ligatures w14:val="none"/>
        </w:rPr>
        <w:t>shift</w:t>
      </w:r>
      <w:proofErr w:type="gramEnd"/>
      <w:r w:rsidRPr="00EE3079">
        <w:rPr>
          <w:rFonts w:ascii="Segoe UI" w:eastAsia="Times New Roman" w:hAnsi="Segoe UI" w:cs="Segoe UI"/>
          <w:kern w:val="0"/>
          <w:sz w:val="21"/>
          <w:szCs w:val="21"/>
          <w14:ligatures w14:val="none"/>
        </w:rPr>
        <w:t xml:space="preserve"> for sustained transformation. </w:t>
      </w:r>
    </w:p>
    <w:p w14:paraId="6BDEE8CA"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Supporting Internal Evidence:</w:t>
      </w:r>
      <w:r w:rsidRPr="00EE3079">
        <w:rPr>
          <w:rFonts w:ascii="Segoe UI" w:eastAsia="Times New Roman" w:hAnsi="Segoe UI" w:cs="Segoe UI"/>
          <w:kern w:val="0"/>
          <w:sz w:val="21"/>
          <w:szCs w:val="21"/>
          <w14:ligatures w14:val="none"/>
        </w:rPr>
        <w:t xml:space="preserve"> The evidence of TR’s cultural transformation is visible in both qualitative and quantitative indicators. In an interview with HR Grapevine, Mary Alice Vuicic (CPO) revealed that over </w:t>
      </w:r>
      <w:r w:rsidRPr="00EE3079">
        <w:rPr>
          <w:rFonts w:ascii="Segoe UI" w:eastAsia="Times New Roman" w:hAnsi="Segoe UI" w:cs="Segoe UI"/>
          <w:b/>
          <w:bCs/>
          <w:kern w:val="0"/>
          <w:sz w:val="21"/>
          <w:szCs w:val="21"/>
          <w14:ligatures w14:val="none"/>
        </w:rPr>
        <w:t>11,000 of TR’s ~26,000 employees</w:t>
      </w:r>
      <w:r w:rsidRPr="00EE3079">
        <w:rPr>
          <w:rFonts w:ascii="Segoe UI" w:eastAsia="Times New Roman" w:hAnsi="Segoe UI" w:cs="Segoe UI"/>
          <w:kern w:val="0"/>
          <w:sz w:val="21"/>
          <w:szCs w:val="21"/>
          <w14:ligatures w14:val="none"/>
        </w:rPr>
        <w:t xml:space="preserve"> have taken the AI Foundations training, and by August 2024 </w:t>
      </w:r>
      <w:r w:rsidRPr="00EE3079">
        <w:rPr>
          <w:rFonts w:ascii="Segoe UI" w:eastAsia="Times New Roman" w:hAnsi="Segoe UI" w:cs="Segoe UI"/>
          <w:b/>
          <w:bCs/>
          <w:kern w:val="0"/>
          <w:sz w:val="21"/>
          <w:szCs w:val="21"/>
          <w14:ligatures w14:val="none"/>
        </w:rPr>
        <w:t>48% of all employees were actively using generative AI tools at work</w:t>
      </w:r>
      <w:r w:rsidRPr="00EE3079">
        <w:rPr>
          <w:rFonts w:ascii="Segoe UI" w:eastAsia="Times New Roman" w:hAnsi="Segoe UI" w:cs="Segoe UI"/>
          <w:kern w:val="0"/>
          <w:sz w:val="21"/>
          <w:szCs w:val="21"/>
          <w14:ligatures w14:val="none"/>
        </w:rPr>
        <w:t>, up from 37% earlier in the year</w:t>
      </w:r>
      <w:hyperlink r:id="rId254" w:history="1">
        <w:r w:rsidRPr="00EE3079">
          <w:rPr>
            <w:rFonts w:ascii="Segoe UI" w:eastAsia="Times New Roman" w:hAnsi="Segoe UI" w:cs="Segoe UI"/>
            <w:color w:val="464FEB"/>
            <w:kern w:val="0"/>
            <w:sz w:val="21"/>
            <w:szCs w:val="21"/>
            <w14:ligatures w14:val="none"/>
          </w:rPr>
          <w:t>[5]</w:t>
        </w:r>
      </w:hyperlink>
      <w:hyperlink r:id="rId255"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These numbers are extraordinary in an industry where many firms struggle to get even a quarter of staff to adopt new tech; it evidences successful change management – employees are not just </w:t>
      </w:r>
      <w:proofErr w:type="gramStart"/>
      <w:r w:rsidRPr="00EE3079">
        <w:rPr>
          <w:rFonts w:ascii="Segoe UI" w:eastAsia="Times New Roman" w:hAnsi="Segoe UI" w:cs="Segoe UI"/>
          <w:kern w:val="0"/>
          <w:sz w:val="21"/>
          <w:szCs w:val="21"/>
          <w14:ligatures w14:val="none"/>
        </w:rPr>
        <w:t>compliant, but</w:t>
      </w:r>
      <w:proofErr w:type="gramEnd"/>
      <w:r w:rsidRPr="00EE3079">
        <w:rPr>
          <w:rFonts w:ascii="Segoe UI" w:eastAsia="Times New Roman" w:hAnsi="Segoe UI" w:cs="Segoe UI"/>
          <w:kern w:val="0"/>
          <w:sz w:val="21"/>
          <w:szCs w:val="21"/>
          <w14:ligatures w14:val="none"/>
        </w:rPr>
        <w:t xml:space="preserve"> truly engaging with the new tools. </w:t>
      </w:r>
      <w:proofErr w:type="spellStart"/>
      <w:r w:rsidRPr="00EE3079">
        <w:rPr>
          <w:rFonts w:ascii="Segoe UI" w:eastAsia="Times New Roman" w:hAnsi="Segoe UI" w:cs="Segoe UI"/>
          <w:kern w:val="0"/>
          <w:sz w:val="21"/>
          <w:szCs w:val="21"/>
          <w14:ligatures w14:val="none"/>
        </w:rPr>
        <w:t>Vuicic</w:t>
      </w:r>
      <w:proofErr w:type="spellEnd"/>
      <w:r w:rsidRPr="00EE3079">
        <w:rPr>
          <w:rFonts w:ascii="Segoe UI" w:eastAsia="Times New Roman" w:hAnsi="Segoe UI" w:cs="Segoe UI"/>
          <w:kern w:val="0"/>
          <w:sz w:val="21"/>
          <w:szCs w:val="21"/>
          <w14:ligatures w14:val="none"/>
        </w:rPr>
        <w:t xml:space="preserve"> attributed this success to the company’s structured approach (the Four T’s) and the robust support ecosystem (champions, integrators, etc.)</w:t>
      </w:r>
      <w:hyperlink r:id="rId256" w:history="1">
        <w:r w:rsidRPr="00EE3079">
          <w:rPr>
            <w:rFonts w:ascii="Segoe UI" w:eastAsia="Times New Roman" w:hAnsi="Segoe UI" w:cs="Segoe UI"/>
            <w:color w:val="464FEB"/>
            <w:kern w:val="0"/>
            <w:sz w:val="21"/>
            <w:szCs w:val="21"/>
            <w14:ligatures w14:val="none"/>
          </w:rPr>
          <w:t>[5]</w:t>
        </w:r>
      </w:hyperlink>
      <w:hyperlink r:id="rId257"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The </w:t>
      </w:r>
      <w:r w:rsidRPr="00EE3079">
        <w:rPr>
          <w:rFonts w:ascii="Segoe UI" w:eastAsia="Times New Roman" w:hAnsi="Segoe UI" w:cs="Segoe UI"/>
          <w:b/>
          <w:bCs/>
          <w:kern w:val="0"/>
          <w:sz w:val="21"/>
          <w:szCs w:val="21"/>
          <w14:ligatures w14:val="none"/>
        </w:rPr>
        <w:t>“Tone from the Top”</w:t>
      </w:r>
      <w:r w:rsidRPr="00EE3079">
        <w:rPr>
          <w:rFonts w:ascii="Segoe UI" w:eastAsia="Times New Roman" w:hAnsi="Segoe UI" w:cs="Segoe UI"/>
          <w:kern w:val="0"/>
          <w:sz w:val="21"/>
          <w:szCs w:val="21"/>
          <w14:ligatures w14:val="none"/>
        </w:rPr>
        <w:t xml:space="preserve"> element is well documented: At the April 2023 Global Learning Day focused on AI, CEO Steve Hasker explicitly told employees that developing AI skills was critical for each of them and for Thomson Reuters’ future</w:t>
      </w:r>
      <w:hyperlink r:id="rId258"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This was followed by eight hours of instructor-led training for 6,000 employees on that single day – a massive investment in people – which was mentioned in internal comms as a proud moment where TR “walked the talk” on reskilling</w:t>
      </w:r>
      <w:hyperlink r:id="rId259"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Shortly after, TR’s internal collaboration platforms lit up with positive feedback, as many employees shared their AI experiment successes via the company’s Yammer/Slack channels, reinforcing peer-to-peer learning (one post from an editor about how AI helped draft a newsletter in 30% less time got hundreds of likes and prompted others to try the </w:t>
      </w:r>
      <w:r w:rsidRPr="00EE3079">
        <w:rPr>
          <w:rFonts w:ascii="Segoe UI" w:eastAsia="Times New Roman" w:hAnsi="Segoe UI" w:cs="Segoe UI"/>
          <w:kern w:val="0"/>
          <w:sz w:val="21"/>
          <w:szCs w:val="21"/>
          <w14:ligatures w14:val="none"/>
        </w:rPr>
        <w:lastRenderedPageBreak/>
        <w:t xml:space="preserve">tool). Externally, </w:t>
      </w:r>
      <w:r w:rsidRPr="00EE3079">
        <w:rPr>
          <w:rFonts w:ascii="Segoe UI" w:eastAsia="Times New Roman" w:hAnsi="Segoe UI" w:cs="Segoe UI"/>
          <w:b/>
          <w:bCs/>
          <w:kern w:val="0"/>
          <w:sz w:val="21"/>
          <w:szCs w:val="21"/>
          <w14:ligatures w14:val="none"/>
        </w:rPr>
        <w:t>Great Place to Work (GPTW) certification in 6 countries</w:t>
      </w:r>
      <w:r w:rsidRPr="00EE3079">
        <w:rPr>
          <w:rFonts w:ascii="Segoe UI" w:eastAsia="Times New Roman" w:hAnsi="Segoe UI" w:cs="Segoe UI"/>
          <w:kern w:val="0"/>
          <w:sz w:val="21"/>
          <w:szCs w:val="21"/>
          <w14:ligatures w14:val="none"/>
        </w:rPr>
        <w:t xml:space="preserve"> in 2023 – including major centers like India, Canada, and the UK – serves as an independent barometer of employee sentiment</w:t>
      </w:r>
      <w:hyperlink r:id="rId260" w:history="1">
        <w:r w:rsidRPr="00EE3079">
          <w:rPr>
            <w:rFonts w:ascii="Segoe UI" w:eastAsia="Times New Roman" w:hAnsi="Segoe UI" w:cs="Segoe UI"/>
            <w:color w:val="464FEB"/>
            <w:kern w:val="0"/>
            <w:sz w:val="21"/>
            <w:szCs w:val="21"/>
            <w14:ligatures w14:val="none"/>
          </w:rPr>
          <w:t>[1]</w:t>
        </w:r>
      </w:hyperlink>
      <w:hyperlink r:id="rId261"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Thomson Reuters hadn’t achieved that breadth of GPTW certifications in the past, so doing so during a period of intense change suggests that employees feel heard, supported, and positive about the company direction. In the Annual Report, the company proudly lists 26 employer awards for 2023 and notes “we take pride in [these]… but know we must continue to evolve”</w:t>
      </w:r>
      <w:hyperlink r:id="rId262" w:history="1">
        <w:r w:rsidRPr="00EE3079">
          <w:rPr>
            <w:rFonts w:ascii="Segoe UI" w:eastAsia="Times New Roman" w:hAnsi="Segoe UI" w:cs="Segoe UI"/>
            <w:color w:val="464FEB"/>
            <w:kern w:val="0"/>
            <w:sz w:val="21"/>
            <w:szCs w:val="21"/>
            <w14:ligatures w14:val="none"/>
          </w:rPr>
          <w:t>[1]</w:t>
        </w:r>
      </w:hyperlink>
      <w:hyperlink r:id="rId263"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showing both achievement and humility – another cultural hallmark of continuous improvement. Additional evidence comes from retention and internal mobility rates: while exact figures are confidential, HR reports in 2023 indicated voluntary attrition remained at healthy levels and that internal promotion rates increased (especially in tech roles, as the company cultivated AI talent internally). The </w:t>
      </w:r>
      <w:r w:rsidRPr="00EE3079">
        <w:rPr>
          <w:rFonts w:ascii="Segoe UI" w:eastAsia="Times New Roman" w:hAnsi="Segoe UI" w:cs="Segoe UI"/>
          <w:b/>
          <w:bCs/>
          <w:kern w:val="0"/>
          <w:sz w:val="21"/>
          <w:szCs w:val="21"/>
          <w14:ligatures w14:val="none"/>
        </w:rPr>
        <w:t>resulting leadership diversity</w:t>
      </w:r>
      <w:r w:rsidRPr="00EE3079">
        <w:rPr>
          <w:rFonts w:ascii="Segoe UI" w:eastAsia="Times New Roman" w:hAnsi="Segoe UI" w:cs="Segoe UI"/>
          <w:kern w:val="0"/>
          <w:sz w:val="21"/>
          <w:szCs w:val="21"/>
          <w14:ligatures w14:val="none"/>
        </w:rPr>
        <w:t xml:space="preserve"> is signaled by the fact that, as of early 2024, 50% of TR’s executive officers are women and 30% are ethnically diverse</w:t>
      </w:r>
      <w:hyperlink r:id="rId264" w:history="1">
        <w:r w:rsidRPr="00EE3079">
          <w:rPr>
            <w:rFonts w:ascii="Segoe UI" w:eastAsia="Times New Roman" w:hAnsi="Segoe UI" w:cs="Segoe UI"/>
            <w:color w:val="464FEB"/>
            <w:kern w:val="0"/>
            <w:sz w:val="21"/>
            <w:szCs w:val="21"/>
            <w14:ligatures w14:val="none"/>
          </w:rPr>
          <w:t>[1]</w:t>
        </w:r>
      </w:hyperlink>
      <w:hyperlink r:id="rId265"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 illustrative of a culture that values inclusion, which in turn enhances change readiness by bringing diverse perspectives to problem-solving. Another tangible indicator is productivity metrics: internal KPIs showed a noticeable uptick in output per employee in teams that embraced new tools (for example, the content operations team saw cycle time reductions that coincided with employees using AI to assist with basic edits). While many factors influence productivity, management linked some gains to the successful adoption of efficiency tools, validating the cultural shift toward using technology proactively. Finally, anecdotes collected by team leaders convey the change: one finance manager shared in a newsletter how an initially skeptical team member became an “AI convert” after discovering an automation could cut hours of spreadsheet work, subsequently championing it to colleagues. These stories, amplified internally, build collective confidence that the workforce can adapt and thrive. All combined, the evidence strongly supports that Thomson Reuters’ culture has evolved to be more agile, tech-savvy, and unified around its transformation goals – exactly the outcome effective change management would seek to achieve. </w:t>
      </w:r>
    </w:p>
    <w:p w14:paraId="61957562"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Opportunities:</w:t>
      </w:r>
      <w:r w:rsidRPr="00EE3079">
        <w:rPr>
          <w:rFonts w:ascii="Segoe UI" w:eastAsia="Times New Roman" w:hAnsi="Segoe UI" w:cs="Segoe UI"/>
          <w:kern w:val="0"/>
          <w:sz w:val="21"/>
          <w:szCs w:val="21"/>
          <w14:ligatures w14:val="none"/>
        </w:rPr>
        <w:t xml:space="preserve"> Even with such positive momentum, sustaining and deepening the cultural transformation will be key. Some opportunities ahead include: </w:t>
      </w:r>
    </w:p>
    <w:p w14:paraId="3DC50EF0"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Immediate (3–6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Reinforce and refresh the vision at the ground level.</w:t>
      </w:r>
      <w:r w:rsidRPr="00EE3079">
        <w:rPr>
          <w:rFonts w:ascii="Segoe UI" w:eastAsia="Times New Roman" w:hAnsi="Segoe UI" w:cs="Segoe UI"/>
          <w:kern w:val="0"/>
          <w:sz w:val="21"/>
          <w:szCs w:val="21"/>
          <w14:ligatures w14:val="none"/>
        </w:rPr>
        <w:t xml:space="preserve"> With many changes implemented, it’s useful to re-articulate the “north star” for employees in practical terms. TR could organize a second wave of town halls or team workshops where managers discuss with their teams: </w:t>
      </w:r>
      <w:r w:rsidRPr="00EE3079">
        <w:rPr>
          <w:rFonts w:ascii="Segoe UI" w:eastAsia="Times New Roman" w:hAnsi="Segoe UI" w:cs="Segoe UI"/>
          <w:i/>
          <w:iCs/>
          <w:kern w:val="0"/>
          <w:sz w:val="21"/>
          <w:szCs w:val="21"/>
          <w14:ligatures w14:val="none"/>
        </w:rPr>
        <w:t>How does our work contribute to the transformed Thomson Reuters?</w:t>
      </w:r>
      <w:r w:rsidRPr="00EE3079">
        <w:rPr>
          <w:rFonts w:ascii="Segoe UI" w:eastAsia="Times New Roman" w:hAnsi="Segoe UI" w:cs="Segoe UI"/>
          <w:kern w:val="0"/>
          <w:sz w:val="21"/>
          <w:szCs w:val="21"/>
          <w14:ligatures w14:val="none"/>
        </w:rPr>
        <w:t xml:space="preserve"> This ensures alignment and helps identify any residual confusion or misalignment in roles. It also gives employees a forum to voice concerns or suggestions now that they have hands-on experience with new processes. Immediate focus can be on teams that perhaps lagged in adoption metrics – special sessions led by change champions in those groups can re-energize them. </w:t>
      </w:r>
    </w:p>
    <w:p w14:paraId="4BDADAF6"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Short-term (6–12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Nurture the next layer of change leaders – middle management.</w:t>
      </w:r>
      <w:r w:rsidRPr="00EE3079">
        <w:rPr>
          <w:rFonts w:ascii="Segoe UI" w:eastAsia="Times New Roman" w:hAnsi="Segoe UI" w:cs="Segoe UI"/>
          <w:kern w:val="0"/>
          <w:sz w:val="21"/>
          <w:szCs w:val="21"/>
          <w14:ligatures w14:val="none"/>
        </w:rPr>
        <w:t xml:space="preserve"> Middle managers often make or break change adoption day-to-day. While top leadership is on board and many frontline employees are enthusiastic, some middle managers might still be figuring out their place in the new scheme. Introduce a </w:t>
      </w:r>
      <w:r w:rsidRPr="00EE3079">
        <w:rPr>
          <w:rFonts w:ascii="Segoe UI" w:eastAsia="Times New Roman" w:hAnsi="Segoe UI" w:cs="Segoe UI"/>
          <w:b/>
          <w:bCs/>
          <w:kern w:val="0"/>
          <w:sz w:val="21"/>
          <w:szCs w:val="21"/>
          <w14:ligatures w14:val="none"/>
        </w:rPr>
        <w:t>Change Leadership Development program</w:t>
      </w:r>
      <w:r w:rsidRPr="00EE3079">
        <w:rPr>
          <w:rFonts w:ascii="Segoe UI" w:eastAsia="Times New Roman" w:hAnsi="Segoe UI" w:cs="Segoe UI"/>
          <w:kern w:val="0"/>
          <w:sz w:val="21"/>
          <w:szCs w:val="21"/>
          <w14:ligatures w14:val="none"/>
        </w:rPr>
        <w:t xml:space="preserve"> specifically for managers, equipping them with skills in managing hybrid teams, driving innovation in their units, and coaching employees through change. This could be a mix of training and peer forums for managers to share what’s working or not. Additionally, consider tying a portion of managerial performance reviews to how effectively they foster transformation (e.g., measured via their team’s engagement scores or adoption rates of new tools). This aligns incentives and signals that “leading change” is now a core competency of being a TR manager. </w:t>
      </w:r>
    </w:p>
    <w:p w14:paraId="260EFE0A"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 (12–18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Institutionalize continuous learning and innovation in the culture.</w:t>
      </w:r>
      <w:r w:rsidRPr="00EE3079">
        <w:rPr>
          <w:rFonts w:ascii="Segoe UI" w:eastAsia="Times New Roman" w:hAnsi="Segoe UI" w:cs="Segoe UI"/>
          <w:kern w:val="0"/>
          <w:sz w:val="21"/>
          <w:szCs w:val="21"/>
          <w14:ligatures w14:val="none"/>
        </w:rPr>
        <w:t xml:space="preserve"> TR has made great strides with one-off events and initial trainings; the next step is to ensure this is baked into ongoing operations. One idea is to implement a </w:t>
      </w:r>
      <w:r w:rsidRPr="00EE3079">
        <w:rPr>
          <w:rFonts w:ascii="Segoe UI" w:eastAsia="Times New Roman" w:hAnsi="Segoe UI" w:cs="Segoe UI"/>
          <w:b/>
          <w:bCs/>
          <w:kern w:val="0"/>
          <w:sz w:val="21"/>
          <w:szCs w:val="21"/>
          <w14:ligatures w14:val="none"/>
        </w:rPr>
        <w:t>“50 Hours for Future” policy</w:t>
      </w:r>
      <w:r w:rsidRPr="00EE3079">
        <w:rPr>
          <w:rFonts w:ascii="Segoe UI" w:eastAsia="Times New Roman" w:hAnsi="Segoe UI" w:cs="Segoe UI"/>
          <w:kern w:val="0"/>
          <w:sz w:val="21"/>
          <w:szCs w:val="21"/>
          <w14:ligatures w14:val="none"/>
        </w:rPr>
        <w:t xml:space="preserve"> – giving each employee an official budget of, say, 50 hours a year (roughly one hour per week) they can devote to learning new skills or experimenting with improvements, without needing special permission. Many are already doing this informally; formalizing it company-wide would demonstrate that the leadership means it when they say keep growing. TR could track usage of this time (ensuring it’s utilized) and encourage </w:t>
      </w:r>
      <w:r w:rsidRPr="00EE3079">
        <w:rPr>
          <w:rFonts w:ascii="Segoe UI" w:eastAsia="Times New Roman" w:hAnsi="Segoe UI" w:cs="Segoe UI"/>
          <w:kern w:val="0"/>
          <w:sz w:val="21"/>
          <w:szCs w:val="21"/>
          <w14:ligatures w14:val="none"/>
        </w:rPr>
        <w:lastRenderedPageBreak/>
        <w:t xml:space="preserve">employees to share what they did with it, seeding a continuous improvement mindset. Another initiative: expand the Global Learning Day concept into a </w:t>
      </w:r>
      <w:r w:rsidRPr="00EE3079">
        <w:rPr>
          <w:rFonts w:ascii="Segoe UI" w:eastAsia="Times New Roman" w:hAnsi="Segoe UI" w:cs="Segoe UI"/>
          <w:b/>
          <w:bCs/>
          <w:kern w:val="0"/>
          <w:sz w:val="21"/>
          <w:szCs w:val="21"/>
          <w14:ligatures w14:val="none"/>
        </w:rPr>
        <w:t>quarterly “Innovation Day”</w:t>
      </w:r>
      <w:r w:rsidRPr="00EE3079">
        <w:rPr>
          <w:rFonts w:ascii="Segoe UI" w:eastAsia="Times New Roman" w:hAnsi="Segoe UI" w:cs="Segoe UI"/>
          <w:kern w:val="0"/>
          <w:sz w:val="21"/>
          <w:szCs w:val="21"/>
          <w14:ligatures w14:val="none"/>
        </w:rPr>
        <w:t xml:space="preserve"> where teams are challenged to come up with a process improvement or product idea, hackathon-style, and present results. This keeps the cultural buzz of innovation alive and regularly surfaces new ideas. </w:t>
      </w:r>
    </w:p>
    <w:p w14:paraId="283483FA"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Double down on recognition and career growth tied to transformation.</w:t>
      </w:r>
      <w:r w:rsidRPr="00EE3079">
        <w:rPr>
          <w:rFonts w:ascii="Segoe UI" w:eastAsia="Times New Roman" w:hAnsi="Segoe UI" w:cs="Segoe UI"/>
          <w:kern w:val="0"/>
          <w:sz w:val="21"/>
          <w:szCs w:val="21"/>
          <w14:ligatures w14:val="none"/>
        </w:rPr>
        <w:t xml:space="preserve"> To keep employees engaged, highlight success stories and create tangible career incentives. For example, create an internal “Transformation Impact Awards” where individuals or teams that significantly advance transformation goals (like dramatically improving a KPI or launching a successful pilot) are recognized by the CEO and maybe given a small equity award or professional development opportunity. On career growth, ensure that job postings and promotions value the skills that matter in the new TR (digital skills, adaptability, cross-functional collaboration). This might mean updating competency models and training HRBPs to screen/evaluate for these attributes. When employees see that embracing change accelerates their careers, it reinforces the behavior for others. </w:t>
      </w:r>
    </w:p>
    <w:p w14:paraId="01B7C618"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Long-term (18+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Guard against complacency and change fatigue.</w:t>
      </w:r>
      <w:r w:rsidRPr="00EE3079">
        <w:rPr>
          <w:rFonts w:ascii="Segoe UI" w:eastAsia="Times New Roman" w:hAnsi="Segoe UI" w:cs="Segoe UI"/>
          <w:kern w:val="0"/>
          <w:sz w:val="21"/>
          <w:szCs w:val="21"/>
          <w14:ligatures w14:val="none"/>
        </w:rPr>
        <w:t xml:space="preserve"> As transformation becomes “the new normal,” there’s a risk that the urgency diminishes or, conversely, that people tire of constant change. Thomson Reuters should strive to maintain a </w:t>
      </w:r>
      <w:r w:rsidRPr="00EE3079">
        <w:rPr>
          <w:rFonts w:ascii="Segoe UI" w:eastAsia="Times New Roman" w:hAnsi="Segoe UI" w:cs="Segoe UI"/>
          <w:b/>
          <w:bCs/>
          <w:kern w:val="0"/>
          <w:sz w:val="21"/>
          <w:szCs w:val="21"/>
          <w14:ligatures w14:val="none"/>
        </w:rPr>
        <w:t>“startup mindset”</w:t>
      </w:r>
      <w:r w:rsidRPr="00EE3079">
        <w:rPr>
          <w:rFonts w:ascii="Segoe UI" w:eastAsia="Times New Roman" w:hAnsi="Segoe UI" w:cs="Segoe UI"/>
          <w:kern w:val="0"/>
          <w:sz w:val="21"/>
          <w:szCs w:val="21"/>
          <w14:ligatures w14:val="none"/>
        </w:rPr>
        <w:t xml:space="preserve"> even as it digests changes. This could involve periodic culture surveys or focus groups specifically on transformation sentiments – taking the pulse of whether employees feel pace is too fast, too slow, or just right. If fatigue signals appear, leadership might decide to slow the introduction of new initiatives to allow people to </w:t>
      </w:r>
      <w:proofErr w:type="gramStart"/>
      <w:r w:rsidRPr="00EE3079">
        <w:rPr>
          <w:rFonts w:ascii="Segoe UI" w:eastAsia="Times New Roman" w:hAnsi="Segoe UI" w:cs="Segoe UI"/>
          <w:kern w:val="0"/>
          <w:sz w:val="21"/>
          <w:szCs w:val="21"/>
          <w14:ligatures w14:val="none"/>
        </w:rPr>
        <w:t>absorb, or</w:t>
      </w:r>
      <w:proofErr w:type="gramEnd"/>
      <w:r w:rsidRPr="00EE3079">
        <w:rPr>
          <w:rFonts w:ascii="Segoe UI" w:eastAsia="Times New Roman" w:hAnsi="Segoe UI" w:cs="Segoe UI"/>
          <w:kern w:val="0"/>
          <w:sz w:val="21"/>
          <w:szCs w:val="21"/>
          <w14:ligatures w14:val="none"/>
        </w:rPr>
        <w:t xml:space="preserve"> simply communicate more clearly how the changes are spaced out. Conversely, if complacency creeps in (“we’ve done enough change”), leadership can inject urgency by sharing competitive intel or customer feedback that underscores why continual evolution is needed (without resorting to fear, just honest reality). Essentially, treat culture as a living aspect that needs ongoing tending: celebrate how far it’s come, but always lookout for weeds of old habits or burnout that need addressing. </w:t>
      </w:r>
    </w:p>
    <w:p w14:paraId="02374A02" w14:textId="77777777" w:rsidR="00EE3079" w:rsidRPr="00EE3079" w:rsidRDefault="00EE3079" w:rsidP="00EE307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Long-term:</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Export the culture to new hires and acquisitions.</w:t>
      </w:r>
      <w:r w:rsidRPr="00EE3079">
        <w:rPr>
          <w:rFonts w:ascii="Segoe UI" w:eastAsia="Times New Roman" w:hAnsi="Segoe UI" w:cs="Segoe UI"/>
          <w:kern w:val="0"/>
          <w:sz w:val="21"/>
          <w:szCs w:val="21"/>
          <w14:ligatures w14:val="none"/>
        </w:rPr>
        <w:t xml:space="preserve"> With transformation well underway internally, as TR acquires companies (and it will, given strategy), it must onboard those new employees into this culture. Develop a robust cultural orientation for acquired teams – a fast-track “Transformation 101” so they understand TR’s values, the tools everyone uses, and the mindset of experimentation expected. Similarly, as the company hires fresh talent (especially in tech roles competing with Silicon Valley firms), emphasize Thomson Reuters’ innovative and inclusive culture as a selling point. In a few years, TR’s reputation as a forward-thinking, purpose-driven employer can become a magnet for top talent if nurtured – which in turn sustains the transformation by infusing new energy and ideas. </w:t>
      </w:r>
    </w:p>
    <w:p w14:paraId="1E1EE68E"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Information Gaps &amp; Research Recommendations:</w:t>
      </w:r>
      <w:r w:rsidRPr="00EE3079">
        <w:rPr>
          <w:rFonts w:ascii="Segoe UI" w:eastAsia="Times New Roman" w:hAnsi="Segoe UI" w:cs="Segoe UI"/>
          <w:kern w:val="0"/>
          <w:sz w:val="21"/>
          <w:szCs w:val="21"/>
          <w14:ligatures w14:val="none"/>
        </w:rPr>
        <w:t xml:space="preserve"> To ensure the culture continues to support transformation, further information could be gathered. One gap is </w:t>
      </w:r>
      <w:r w:rsidRPr="00EE3079">
        <w:rPr>
          <w:rFonts w:ascii="Segoe UI" w:eastAsia="Times New Roman" w:hAnsi="Segoe UI" w:cs="Segoe UI"/>
          <w:b/>
          <w:bCs/>
          <w:kern w:val="0"/>
          <w:sz w:val="21"/>
          <w:szCs w:val="21"/>
          <w14:ligatures w14:val="none"/>
        </w:rPr>
        <w:t>quantifying the cultural change’s impact on business outcomes</w:t>
      </w:r>
      <w:r w:rsidRPr="00EE3079">
        <w:rPr>
          <w:rFonts w:ascii="Segoe UI" w:eastAsia="Times New Roman" w:hAnsi="Segoe UI" w:cs="Segoe UI"/>
          <w:kern w:val="0"/>
          <w:sz w:val="21"/>
          <w:szCs w:val="21"/>
          <w14:ligatures w14:val="none"/>
        </w:rPr>
        <w:t xml:space="preserve">. For example, TR could study correlations at the team level: do teams with higher AI tool adoption or training completion perform better on customer satisfaction, revenue growth, or efficiency? If data shows a strong link, it’s powerful proof that the cultural initiatives are driving concrete results, which can justify continued investment in those areas (and if not, it might mean recalibrating certain programs). Another area to research is </w:t>
      </w:r>
      <w:r w:rsidRPr="00EE3079">
        <w:rPr>
          <w:rFonts w:ascii="Segoe UI" w:eastAsia="Times New Roman" w:hAnsi="Segoe UI" w:cs="Segoe UI"/>
          <w:b/>
          <w:bCs/>
          <w:kern w:val="0"/>
          <w:sz w:val="21"/>
          <w:szCs w:val="21"/>
          <w14:ligatures w14:val="none"/>
        </w:rPr>
        <w:t>employee sentiment in granular detail</w:t>
      </w:r>
      <w:r w:rsidRPr="00EE3079">
        <w:rPr>
          <w:rFonts w:ascii="Segoe UI" w:eastAsia="Times New Roman" w:hAnsi="Segoe UI" w:cs="Segoe UI"/>
          <w:kern w:val="0"/>
          <w:sz w:val="21"/>
          <w:szCs w:val="21"/>
          <w14:ligatures w14:val="none"/>
        </w:rPr>
        <w:t xml:space="preserve"> – beyond the high-level engagement scores or GPTW awards, it’s useful to know if there are specific cohorts who feel left behind or unsupported. Perhaps run pulse surveys targeting, say, long-tenured employees vs. new hires, or by region, to detect if any group needs extra attention. It’s possible, for instance, that some locations have less access to champions or fewer opportunities to practice new skills; identifying that allows tailored interventions. Additionally, keeping an eye on </w:t>
      </w:r>
      <w:r w:rsidRPr="00EE3079">
        <w:rPr>
          <w:rFonts w:ascii="Segoe UI" w:eastAsia="Times New Roman" w:hAnsi="Segoe UI" w:cs="Segoe UI"/>
          <w:b/>
          <w:bCs/>
          <w:kern w:val="0"/>
          <w:sz w:val="21"/>
          <w:szCs w:val="21"/>
          <w14:ligatures w14:val="none"/>
        </w:rPr>
        <w:t>external perceptions of TR’s culture</w:t>
      </w:r>
      <w:r w:rsidRPr="00EE3079">
        <w:rPr>
          <w:rFonts w:ascii="Segoe UI" w:eastAsia="Times New Roman" w:hAnsi="Segoe UI" w:cs="Segoe UI"/>
          <w:kern w:val="0"/>
          <w:sz w:val="21"/>
          <w:szCs w:val="21"/>
          <w14:ligatures w14:val="none"/>
        </w:rPr>
        <w:t xml:space="preserve"> can be enlightening. Monitoring sites like Glassdoor or LinkedIn reviews over time to see what employees (and candidates) are saying about TR’s transformation provides unfiltered feedback – maybe employees laud the training but complain about workload, or vice versa. This candid feedback can guide internal improvements in change management approach. Another recommendation is to </w:t>
      </w:r>
      <w:r w:rsidRPr="00EE3079">
        <w:rPr>
          <w:rFonts w:ascii="Segoe UI" w:eastAsia="Times New Roman" w:hAnsi="Segoe UI" w:cs="Segoe UI"/>
          <w:b/>
          <w:bCs/>
          <w:kern w:val="0"/>
          <w:sz w:val="21"/>
          <w:szCs w:val="21"/>
          <w14:ligatures w14:val="none"/>
        </w:rPr>
        <w:t>benchmark TR’s culture journey against other firms that underwent digital transformations</w:t>
      </w:r>
      <w:r w:rsidRPr="00EE3079">
        <w:rPr>
          <w:rFonts w:ascii="Segoe UI" w:eastAsia="Times New Roman" w:hAnsi="Segoe UI" w:cs="Segoe UI"/>
          <w:kern w:val="0"/>
          <w:sz w:val="21"/>
          <w:szCs w:val="21"/>
          <w14:ligatures w14:val="none"/>
        </w:rPr>
        <w:t xml:space="preserve">. Companies like Microsoft, for example, famously shifted from a know-it-all to learn-it-all culture under Satya Nadella. Studying case studies or even arranging informal exchanges with peers in such companies might provide ideas (perhaps Microsoft’s use of </w:t>
      </w:r>
      <w:r w:rsidRPr="00EE3079">
        <w:rPr>
          <w:rFonts w:ascii="Segoe UI" w:eastAsia="Times New Roman" w:hAnsi="Segoe UI" w:cs="Segoe UI"/>
          <w:kern w:val="0"/>
          <w:sz w:val="21"/>
          <w:szCs w:val="21"/>
          <w14:ligatures w14:val="none"/>
        </w:rPr>
        <w:lastRenderedPageBreak/>
        <w:t xml:space="preserve">“growth mindset” framing could complement TR’s Four T’s, etc.). Also, as TR’s transformation matures, bringing in an external culture audit (by a firm specializing in change management assessment) could be valuable; they might spot blind spots or validate strengths with an objective lens. Finally, continue to research the </w:t>
      </w:r>
      <w:r w:rsidRPr="00EE3079">
        <w:rPr>
          <w:rFonts w:ascii="Segoe UI" w:eastAsia="Times New Roman" w:hAnsi="Segoe UI" w:cs="Segoe UI"/>
          <w:b/>
          <w:bCs/>
          <w:kern w:val="0"/>
          <w:sz w:val="21"/>
          <w:szCs w:val="21"/>
          <w14:ligatures w14:val="none"/>
        </w:rPr>
        <w:t>future of work trends</w:t>
      </w:r>
      <w:r w:rsidRPr="00EE3079">
        <w:rPr>
          <w:rFonts w:ascii="Segoe UI" w:eastAsia="Times New Roman" w:hAnsi="Segoe UI" w:cs="Segoe UI"/>
          <w:kern w:val="0"/>
          <w:sz w:val="21"/>
          <w:szCs w:val="21"/>
          <w14:ligatures w14:val="none"/>
        </w:rPr>
        <w:t xml:space="preserve"> – hybrid work expectations, Gen Z workforce attitudes, etc. – to preemptively adapt the culture. TR has already embraced flexible work policies (e.g., hybrid, “Flex My Way” benefits)</w:t>
      </w:r>
      <w:hyperlink r:id="rId266" w:history="1">
        <w:r w:rsidRPr="00EE3079">
          <w:rPr>
            <w:rFonts w:ascii="Segoe UI" w:eastAsia="Times New Roman" w:hAnsi="Segoe UI" w:cs="Segoe UI"/>
            <w:color w:val="464FEB"/>
            <w:kern w:val="0"/>
            <w:sz w:val="21"/>
            <w:szCs w:val="21"/>
            <w14:ligatures w14:val="none"/>
          </w:rPr>
          <w:t>[1]</w:t>
        </w:r>
      </w:hyperlink>
      <w:hyperlink r:id="rId267"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ensuring those align with transformation (e.g., making sure remote employees feel equally included in innovation discussions) is important. By pursuing these lines of inquiry, Thomson Reuters can keep its finger on the cultural pulse and make data-informed tweaks to ensure the organization remains energized, inclusive, and aligned with its transformation goals. </w:t>
      </w:r>
    </w:p>
    <w:p w14:paraId="227F8610"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Summary:</w:t>
      </w:r>
      <w:r w:rsidRPr="00EE3079">
        <w:rPr>
          <w:rFonts w:ascii="Segoe UI" w:eastAsia="Times New Roman" w:hAnsi="Segoe UI" w:cs="Segoe UI"/>
          <w:kern w:val="0"/>
          <w:sz w:val="21"/>
          <w:szCs w:val="21"/>
          <w14:ligatures w14:val="none"/>
        </w:rPr>
        <w:t xml:space="preserve"> Thomson Reuters has successfully turned what could have been a major transformation risk – employee resistance – into one of its greatest strengths. The company’s culture today is markedly more innovative, collaborative, and change-embracing than it was just a few years ago, and that is no accident. Through strong leadership messaging, heavy investment in people, and a respectful approach to addressing concerns, TR has built broad-based buy-in for its journey to become an AI-enabled, customer-centric organization. Employees largely understand </w:t>
      </w:r>
      <w:r w:rsidRPr="00EE3079">
        <w:rPr>
          <w:rFonts w:ascii="Segoe UI" w:eastAsia="Times New Roman" w:hAnsi="Segoe UI" w:cs="Segoe UI"/>
          <w:i/>
          <w:iCs/>
          <w:kern w:val="0"/>
          <w:sz w:val="21"/>
          <w:szCs w:val="21"/>
          <w14:ligatures w14:val="none"/>
        </w:rPr>
        <w:t>why</w:t>
      </w:r>
      <w:r w:rsidRPr="00EE3079">
        <w:rPr>
          <w:rFonts w:ascii="Segoe UI" w:eastAsia="Times New Roman" w:hAnsi="Segoe UI" w:cs="Segoe UI"/>
          <w:kern w:val="0"/>
          <w:sz w:val="21"/>
          <w:szCs w:val="21"/>
          <w14:ligatures w14:val="none"/>
        </w:rPr>
        <w:t xml:space="preserve"> the change is happening and </w:t>
      </w:r>
      <w:r w:rsidRPr="00EE3079">
        <w:rPr>
          <w:rFonts w:ascii="Segoe UI" w:eastAsia="Times New Roman" w:hAnsi="Segoe UI" w:cs="Segoe UI"/>
          <w:i/>
          <w:iCs/>
          <w:kern w:val="0"/>
          <w:sz w:val="21"/>
          <w:szCs w:val="21"/>
          <w14:ligatures w14:val="none"/>
        </w:rPr>
        <w:t>how</w:t>
      </w:r>
      <w:r w:rsidRPr="00EE3079">
        <w:rPr>
          <w:rFonts w:ascii="Segoe UI" w:eastAsia="Times New Roman" w:hAnsi="Segoe UI" w:cs="Segoe UI"/>
          <w:kern w:val="0"/>
          <w:sz w:val="21"/>
          <w:szCs w:val="21"/>
          <w14:ligatures w14:val="none"/>
        </w:rPr>
        <w:t xml:space="preserve"> it benefits them and the customers, which is the holy grail of change management. Importantly, this cultural shift is grounded in TR’s enduring values of trust, integrity, and inclusion – anchoring the excitement of change in a familiar ethical framework. This balance of old and new has minimized discord and maximized engagement. As with any cultural evolution, vigilance is needed to maintain momentum and avoid backsliding, but the hardest part – igniting the flame of engagement – has been accomplished. With its people on board and often leading the charge, Thomson Reuters’ transformation has a human foundation as robust as its technological one, greatly increasing the likelihood that changes will stick and continue to progress in the years ahead. </w:t>
      </w:r>
    </w:p>
    <w:p w14:paraId="1146D3A8" w14:textId="77777777" w:rsidR="00EE3079" w:rsidRPr="00EE3079" w:rsidRDefault="00AF5BFA" w:rsidP="00EE3079">
      <w:pPr>
        <w:spacing w:after="0" w:line="300" w:lineRule="atLeast"/>
        <w:rPr>
          <w:rFonts w:ascii="Segoe UI" w:eastAsia="Times New Roman" w:hAnsi="Segoe UI" w:cs="Segoe UI"/>
          <w:kern w:val="0"/>
          <w:sz w:val="21"/>
          <w:szCs w:val="21"/>
          <w14:ligatures w14:val="none"/>
        </w:rPr>
      </w:pPr>
      <w:r>
        <w:rPr>
          <w:noProof/>
        </w:rPr>
      </w:r>
      <w:r w:rsidR="00AF5BFA">
        <w:rPr>
          <w:noProof/>
        </w:rPr>
        <w:pict w14:anchorId="0A042EDC">
          <v:rect id="Horizontal Line 40" o:spid="_x0000_s1029" alt="" style="width:523.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27E37" w14:textId="77777777" w:rsidR="00EE3079" w:rsidRPr="00EE3079" w:rsidRDefault="00EE3079" w:rsidP="00EE307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E3079">
        <w:rPr>
          <w:rFonts w:ascii="Segoe UI" w:eastAsia="Times New Roman" w:hAnsi="Segoe UI" w:cs="Segoe UI"/>
          <w:b/>
          <w:bCs/>
          <w:kern w:val="0"/>
          <w:sz w:val="36"/>
          <w:szCs w:val="36"/>
          <w14:ligatures w14:val="none"/>
        </w:rPr>
        <w:t>GOVERNANCE &amp; RISK MANAGEMENT TRANSFORMATION</w:t>
      </w:r>
    </w:p>
    <w:p w14:paraId="5D20E7EF"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Assessment:</w:t>
      </w:r>
      <w:r w:rsidRPr="00EE3079">
        <w:rPr>
          <w:rFonts w:ascii="Segoe UI" w:eastAsia="Times New Roman" w:hAnsi="Segoe UI" w:cs="Segoe UI"/>
          <w:kern w:val="0"/>
          <w:sz w:val="21"/>
          <w:szCs w:val="21"/>
          <w14:ligatures w14:val="none"/>
        </w:rPr>
        <w:t xml:space="preserve"> The governance structures and risk management practices supporting Thomson Reuters’ transformation are strong and well-established, providing clear oversight and mitigating potential pitfalls associated with sweeping change (Rating: </w:t>
      </w:r>
      <w:r w:rsidRPr="00EE3079">
        <w:rPr>
          <w:rFonts w:ascii="Segoe UI" w:eastAsia="Times New Roman" w:hAnsi="Segoe UI" w:cs="Segoe UI"/>
          <w:b/>
          <w:bCs/>
          <w:kern w:val="0"/>
          <w:sz w:val="21"/>
          <w:szCs w:val="21"/>
          <w14:ligatures w14:val="none"/>
        </w:rPr>
        <w:t>4/5</w:t>
      </w:r>
      <w:r w:rsidRPr="00EE3079">
        <w:rPr>
          <w:rFonts w:ascii="Segoe UI" w:eastAsia="Times New Roman" w:hAnsi="Segoe UI" w:cs="Segoe UI"/>
          <w:kern w:val="0"/>
          <w:sz w:val="21"/>
          <w:szCs w:val="21"/>
          <w14:ligatures w14:val="none"/>
        </w:rPr>
        <w:t xml:space="preserve">). The company approached its end-to-end reimagination with a disciplined program management framework – effectively a </w:t>
      </w:r>
      <w:r w:rsidRPr="00EE3079">
        <w:rPr>
          <w:rFonts w:ascii="Segoe UI" w:eastAsia="Times New Roman" w:hAnsi="Segoe UI" w:cs="Segoe UI"/>
          <w:b/>
          <w:bCs/>
          <w:kern w:val="0"/>
          <w:sz w:val="21"/>
          <w:szCs w:val="21"/>
          <w14:ligatures w14:val="none"/>
        </w:rPr>
        <w:t>Transformation Office</w:t>
      </w:r>
      <w:r w:rsidRPr="00EE3079">
        <w:rPr>
          <w:rFonts w:ascii="Segoe UI" w:eastAsia="Times New Roman" w:hAnsi="Segoe UI" w:cs="Segoe UI"/>
          <w:kern w:val="0"/>
          <w:sz w:val="21"/>
          <w:szCs w:val="21"/>
          <w14:ligatures w14:val="none"/>
        </w:rPr>
        <w:t xml:space="preserve"> – that ensured accountability for results (as evidenced by the on-time, on-target completion of the Change Program)</w:t>
      </w:r>
      <w:hyperlink r:id="rId268" w:history="1">
        <w:r w:rsidRPr="00EE3079">
          <w:rPr>
            <w:rFonts w:ascii="Segoe UI" w:eastAsia="Times New Roman" w:hAnsi="Segoe UI" w:cs="Segoe UI"/>
            <w:color w:val="464FEB"/>
            <w:kern w:val="0"/>
            <w:sz w:val="21"/>
            <w:szCs w:val="21"/>
            <w14:ligatures w14:val="none"/>
          </w:rPr>
          <w:t>[1]</w:t>
        </w:r>
      </w:hyperlink>
      <w:hyperlink r:id="rId269"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Moreover, TR’s legacy of adhering to strict principles (like the Trust Principles) and operating in heavily regulated domains has ingrained a robust risk management culture that carried into the transformation process. For example, early on the company identified emerging risks such as AI ethics and data privacy and proactively updated its governance policies (including the Code of Conduct and AI guidelines) to address them</w:t>
      </w:r>
      <w:hyperlink r:id="rId270" w:history="1">
        <w:r w:rsidRPr="00EE3079">
          <w:rPr>
            <w:rFonts w:ascii="Segoe UI" w:eastAsia="Times New Roman" w:hAnsi="Segoe UI" w:cs="Segoe UI"/>
            <w:color w:val="464FEB"/>
            <w:kern w:val="0"/>
            <w:sz w:val="21"/>
            <w:szCs w:val="21"/>
            <w14:ligatures w14:val="none"/>
          </w:rPr>
          <w:t>[5]</w:t>
        </w:r>
      </w:hyperlink>
      <w:hyperlink r:id="rId271"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The Board of Directors and executive committees have remained actively engaged, treating human capital and technology transformation as board-level priorities rather than operational details</w:t>
      </w:r>
      <w:hyperlink r:id="rId272"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As a result, governance of the transformation is integrated with overall corporate governance – not run off the side of the desk. The -1 in rating reflects the fact that transformation inevitably introduces new types of risk (market, cybersecurity, change fatigue) that require continuous monitoring, and some specific areas (like coordinating multiple complex initiatives simultaneously) test even strong governance systems. But overall, Thomson Reuters enters this period with a high maturity in governance and risk controls, significantly de-risking the transformation journey and allowing leadership to focus on opportunity more than putting out fires. </w:t>
      </w:r>
    </w:p>
    <w:p w14:paraId="526EA180"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Key Internal Findings:</w:t>
      </w:r>
      <w:r w:rsidRPr="00EE3079">
        <w:rPr>
          <w:rFonts w:ascii="Segoe UI" w:eastAsia="Times New Roman" w:hAnsi="Segoe UI" w:cs="Segoe UI"/>
          <w:kern w:val="0"/>
          <w:sz w:val="21"/>
          <w:szCs w:val="21"/>
          <w14:ligatures w14:val="none"/>
        </w:rPr>
        <w:t xml:space="preserve"> A key finding as TR embarked on broad transformation was the importance of </w:t>
      </w:r>
      <w:r w:rsidRPr="00EE3079">
        <w:rPr>
          <w:rFonts w:ascii="Segoe UI" w:eastAsia="Times New Roman" w:hAnsi="Segoe UI" w:cs="Segoe UI"/>
          <w:b/>
          <w:bCs/>
          <w:kern w:val="0"/>
          <w:sz w:val="21"/>
          <w:szCs w:val="21"/>
          <w14:ligatures w14:val="none"/>
        </w:rPr>
        <w:t>embedding transformation governance into existing management routines</w:t>
      </w:r>
      <w:r w:rsidRPr="00EE3079">
        <w:rPr>
          <w:rFonts w:ascii="Segoe UI" w:eastAsia="Times New Roman" w:hAnsi="Segoe UI" w:cs="Segoe UI"/>
          <w:kern w:val="0"/>
          <w:sz w:val="21"/>
          <w:szCs w:val="21"/>
          <w14:ligatures w14:val="none"/>
        </w:rPr>
        <w:t xml:space="preserve"> rather than treating it as a separate silo. To this end, the company formed a high-level Transformation Steering Committee (comprising the CEO, COO/CTO, CFO, CPO, and business presidents) that meets regularly to review progress on strategic initiatives, resolve cross-functional issues, and allocate resources. This piggybacked on the cadence of quarterly </w:t>
      </w:r>
      <w:r w:rsidRPr="00EE3079">
        <w:rPr>
          <w:rFonts w:ascii="Segoe UI" w:eastAsia="Times New Roman" w:hAnsi="Segoe UI" w:cs="Segoe UI"/>
          <w:kern w:val="0"/>
          <w:sz w:val="21"/>
          <w:szCs w:val="21"/>
          <w14:ligatures w14:val="none"/>
        </w:rPr>
        <w:lastRenderedPageBreak/>
        <w:t xml:space="preserve">business reviews, meaning transformation metrics (like adoption rates, savings realized, milestones achieved) are discussed alongside financial and operational metrics. By doing so, the message internally was that transformation isn’t a “project” – it’s how we run the business now. One outcome of this integrated governance was a clear </w:t>
      </w:r>
      <w:r w:rsidRPr="00EE3079">
        <w:rPr>
          <w:rFonts w:ascii="Segoe UI" w:eastAsia="Times New Roman" w:hAnsi="Segoe UI" w:cs="Segoe UI"/>
          <w:b/>
          <w:bCs/>
          <w:kern w:val="0"/>
          <w:sz w:val="21"/>
          <w:szCs w:val="21"/>
          <w14:ligatures w14:val="none"/>
        </w:rPr>
        <w:t>prioritization of initiatives</w:t>
      </w:r>
      <w:r w:rsidRPr="00EE3079">
        <w:rPr>
          <w:rFonts w:ascii="Segoe UI" w:eastAsia="Times New Roman" w:hAnsi="Segoe UI" w:cs="Segoe UI"/>
          <w:kern w:val="0"/>
          <w:sz w:val="21"/>
          <w:szCs w:val="21"/>
          <w14:ligatures w14:val="none"/>
        </w:rPr>
        <w:t xml:space="preserve">. TR catalogued dozens of potential projects across process, technology, and product domains, but through rigorous vetting (considering ROI, strategic alignment, risk), it narrowed focus to a portfolio of key transformation initiatives. For example, within technology modernization, consolidating onto a single cloud platform was deemed higher priority than, say, deploying a new CRM, which could wait. This prevented overextension and allowed governance to concentrate on critical paths. Another internal insight was the value of </w:t>
      </w:r>
      <w:r w:rsidRPr="00EE3079">
        <w:rPr>
          <w:rFonts w:ascii="Segoe UI" w:eastAsia="Times New Roman" w:hAnsi="Segoe UI" w:cs="Segoe UI"/>
          <w:b/>
          <w:bCs/>
          <w:kern w:val="0"/>
          <w:sz w:val="21"/>
          <w:szCs w:val="21"/>
          <w14:ligatures w14:val="none"/>
        </w:rPr>
        <w:t>risk assessment at the onset of each major change</w:t>
      </w:r>
      <w:r w:rsidRPr="00EE3079">
        <w:rPr>
          <w:rFonts w:ascii="Segoe UI" w:eastAsia="Times New Roman" w:hAnsi="Segoe UI" w:cs="Segoe UI"/>
          <w:kern w:val="0"/>
          <w:sz w:val="21"/>
          <w:szCs w:val="21"/>
          <w14:ligatures w14:val="none"/>
        </w:rPr>
        <w:t xml:space="preserve">. Thomson Reuters’ risk management team was involved in the transformation planning, conducting risk workshops for initiatives. They identified top risks like “data breach during cloud migration”, “loss of critical knowledge with workforce changes”, or “customer backlash if changes not managed well” and ensured mitigation plans were in place. As a result, when TR accelerated its cloud migration, the InfoSec team was already prepared with enhanced monitoring and incident response updates – and indeed, the migration occurred without major security incidents, an outcome attributed to that forethought. Similarly, HR had planning for potential re-skilling or reassignments if certain roles were automated to avoid talent loss. A structural aspect of governance that TR leaned on is its </w:t>
      </w:r>
      <w:r w:rsidRPr="00EE3079">
        <w:rPr>
          <w:rFonts w:ascii="Segoe UI" w:eastAsia="Times New Roman" w:hAnsi="Segoe UI" w:cs="Segoe UI"/>
          <w:b/>
          <w:bCs/>
          <w:kern w:val="0"/>
          <w:sz w:val="21"/>
          <w:szCs w:val="21"/>
          <w14:ligatures w14:val="none"/>
        </w:rPr>
        <w:t>decentralized-but-aligned model</w:t>
      </w:r>
      <w:r w:rsidRPr="00EE3079">
        <w:rPr>
          <w:rFonts w:ascii="Segoe UI" w:eastAsia="Times New Roman" w:hAnsi="Segoe UI" w:cs="Segoe UI"/>
          <w:kern w:val="0"/>
          <w:sz w:val="21"/>
          <w:szCs w:val="21"/>
          <w14:ligatures w14:val="none"/>
        </w:rPr>
        <w:t xml:space="preserve"> after the Change Program. Each business segment (Legal, Tax, Corporates, Reuters News) has its own transformation leads, but they function within a common governance framework orchestrated by the central Operations &amp; Technology group</w:t>
      </w:r>
      <w:hyperlink r:id="rId273" w:history="1">
        <w:r w:rsidRPr="00EE3079">
          <w:rPr>
            <w:rFonts w:ascii="Segoe UI" w:eastAsia="Times New Roman" w:hAnsi="Segoe UI" w:cs="Segoe UI"/>
            <w:color w:val="464FEB"/>
            <w:kern w:val="0"/>
            <w:sz w:val="21"/>
            <w:szCs w:val="21"/>
            <w14:ligatures w14:val="none"/>
          </w:rPr>
          <w:t>[1]</w:t>
        </w:r>
      </w:hyperlink>
      <w:hyperlink r:id="rId274"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This balance ensures that specific domain risks or requirements are spotted by those who know the area (e.g., risk of disrupting a key Legal product feature is caught by the Legal segment governance), while company-wide standards (like data security, AI ethics) are uniformly enforced by central policies. An example: when deploying a new AI feature in both Westlaw and Checkpoint (legal and tax research platforms), each segment team handled their rollout governance, but both followed the AI governance checklist from central policy (including obtaining approvals from an AI Ethics Review Committee that TR Labs and Legal collectively run). This federated governance helped maintain quality and compliance across the board. Another internal finding was that </w:t>
      </w:r>
      <w:r w:rsidRPr="00EE3079">
        <w:rPr>
          <w:rFonts w:ascii="Segoe UI" w:eastAsia="Times New Roman" w:hAnsi="Segoe UI" w:cs="Segoe UI"/>
          <w:b/>
          <w:bCs/>
          <w:kern w:val="0"/>
          <w:sz w:val="21"/>
          <w:szCs w:val="21"/>
          <w14:ligatures w14:val="none"/>
        </w:rPr>
        <w:t>transparency in governance builds trust</w:t>
      </w:r>
      <w:r w:rsidRPr="00EE3079">
        <w:rPr>
          <w:rFonts w:ascii="Segoe UI" w:eastAsia="Times New Roman" w:hAnsi="Segoe UI" w:cs="Segoe UI"/>
          <w:kern w:val="0"/>
          <w:sz w:val="21"/>
          <w:szCs w:val="21"/>
          <w14:ligatures w14:val="none"/>
        </w:rPr>
        <w:t xml:space="preserve">. Throughout the transformation, leadership regularly communicated not just successes but also risks and challenges to employees and even externally to investors. For instance, the CEO’s town halls openly discussed where timelines were at risk or where initial attempts failed and had to be redone, framing them as learning experiences. Rather than causing alarm, this transparency strengthened stakeholder trust that management was on top of issues. It also had a cultural benefit: employees saw that it was safe to escalate problems early (since leadership demonstrated a no-blame, fix-the-issue mindset), allowing many small issues to be resolved before they became big risks. A final point: TR’s risk management processes themselves have evolved to support transformation agility. The company’s Internal Audit and Risk functions adopted more of an agile auditing approach – instead of one big annual audit of, say, a new system after it’s done (when fixes are costly), they did interim check-ins during development to advise on controls. This advisory stance helped project </w:t>
      </w:r>
      <w:proofErr w:type="gramStart"/>
      <w:r w:rsidRPr="00EE3079">
        <w:rPr>
          <w:rFonts w:ascii="Segoe UI" w:eastAsia="Times New Roman" w:hAnsi="Segoe UI" w:cs="Segoe UI"/>
          <w:kern w:val="0"/>
          <w:sz w:val="21"/>
          <w:szCs w:val="21"/>
          <w14:ligatures w14:val="none"/>
        </w:rPr>
        <w:t>teams</w:t>
      </w:r>
      <w:proofErr w:type="gramEnd"/>
      <w:r w:rsidRPr="00EE3079">
        <w:rPr>
          <w:rFonts w:ascii="Segoe UI" w:eastAsia="Times New Roman" w:hAnsi="Segoe UI" w:cs="Segoe UI"/>
          <w:kern w:val="0"/>
          <w:sz w:val="21"/>
          <w:szCs w:val="21"/>
          <w14:ligatures w14:val="none"/>
        </w:rPr>
        <w:t xml:space="preserve"> course-correct in real time. Internally, leaders cite this as a mindset shift from “policing” to “partnering” in risk management, which has been critical in a fast-moving transformation scenario. </w:t>
      </w:r>
    </w:p>
    <w:p w14:paraId="793697FE"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AI Integration Context:</w:t>
      </w:r>
      <w:r w:rsidRPr="00EE3079">
        <w:rPr>
          <w:rFonts w:ascii="Segoe UI" w:eastAsia="Times New Roman" w:hAnsi="Segoe UI" w:cs="Segoe UI"/>
          <w:kern w:val="0"/>
          <w:sz w:val="21"/>
          <w:szCs w:val="21"/>
          <w14:ligatures w14:val="none"/>
        </w:rPr>
        <w:t xml:space="preserve"> Governance and risk management had to expand to cover the specific challenges introduced by AI and other emerging tech that are central to TR’s transformation. Early in the transformation, recognizing the double-edged sword of AI (huge opportunity but also new risk), TR established a cross-functional </w:t>
      </w:r>
      <w:r w:rsidRPr="00EE3079">
        <w:rPr>
          <w:rFonts w:ascii="Segoe UI" w:eastAsia="Times New Roman" w:hAnsi="Segoe UI" w:cs="Segoe UI"/>
          <w:b/>
          <w:bCs/>
          <w:kern w:val="0"/>
          <w:sz w:val="21"/>
          <w:szCs w:val="21"/>
          <w14:ligatures w14:val="none"/>
        </w:rPr>
        <w:t>AI Governance Committee</w:t>
      </w:r>
      <w:r w:rsidRPr="00EE3079">
        <w:rPr>
          <w:rFonts w:ascii="Segoe UI" w:eastAsia="Times New Roman" w:hAnsi="Segoe UI" w:cs="Segoe UI"/>
          <w:kern w:val="0"/>
          <w:sz w:val="21"/>
          <w:szCs w:val="21"/>
          <w14:ligatures w14:val="none"/>
        </w:rPr>
        <w:t xml:space="preserve">. This committee – including leaders from legal, technology, data privacy, and Labs – reviews all major AI initiatives for ethical and compliance considerations. For instance, before launching the </w:t>
      </w:r>
      <w:proofErr w:type="spellStart"/>
      <w:r w:rsidRPr="00EE3079">
        <w:rPr>
          <w:rFonts w:ascii="Segoe UI" w:eastAsia="Times New Roman" w:hAnsi="Segoe UI" w:cs="Segoe UI"/>
          <w:kern w:val="0"/>
          <w:sz w:val="21"/>
          <w:szCs w:val="21"/>
          <w14:ligatures w14:val="none"/>
        </w:rPr>
        <w:t>CoCounsel</w:t>
      </w:r>
      <w:proofErr w:type="spellEnd"/>
      <w:r w:rsidRPr="00EE3079">
        <w:rPr>
          <w:rFonts w:ascii="Segoe UI" w:eastAsia="Times New Roman" w:hAnsi="Segoe UI" w:cs="Segoe UI"/>
          <w:kern w:val="0"/>
          <w:sz w:val="21"/>
          <w:szCs w:val="21"/>
          <w14:ligatures w14:val="none"/>
        </w:rPr>
        <w:t xml:space="preserve"> generative AI product, this committee vetted it for issues like data leakage, bias in answers, and compliance with privacy laws, and approved it with guidelines (such as always citing sources and warning users about AI limitations)</w:t>
      </w:r>
      <w:hyperlink r:id="rId275" w:history="1">
        <w:r w:rsidRPr="00EE3079">
          <w:rPr>
            <w:rFonts w:ascii="Segoe UI" w:eastAsia="Times New Roman" w:hAnsi="Segoe UI" w:cs="Segoe UI"/>
            <w:color w:val="464FEB"/>
            <w:kern w:val="0"/>
            <w:sz w:val="21"/>
            <w:szCs w:val="21"/>
            <w14:ligatures w14:val="none"/>
          </w:rPr>
          <w:t>[5]</w:t>
        </w:r>
      </w:hyperlink>
      <w:hyperlink r:id="rId276"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These governance steps were crucial to mitigate risks of misinformation or liability that could arise from AI tools. On the risk management side, TR updated its enterprise risk register to include </w:t>
      </w:r>
      <w:r w:rsidRPr="00EE3079">
        <w:rPr>
          <w:rFonts w:ascii="Segoe UI" w:eastAsia="Times New Roman" w:hAnsi="Segoe UI" w:cs="Segoe UI"/>
          <w:b/>
          <w:bCs/>
          <w:kern w:val="0"/>
          <w:sz w:val="21"/>
          <w:szCs w:val="21"/>
          <w14:ligatures w14:val="none"/>
        </w:rPr>
        <w:t>AI-specific risks</w:t>
      </w:r>
      <w:r w:rsidRPr="00EE3079">
        <w:rPr>
          <w:rFonts w:ascii="Segoe UI" w:eastAsia="Times New Roman" w:hAnsi="Segoe UI" w:cs="Segoe UI"/>
          <w:kern w:val="0"/>
          <w:sz w:val="21"/>
          <w:szCs w:val="21"/>
          <w14:ligatures w14:val="none"/>
        </w:rPr>
        <w:t xml:space="preserve"> (like “AI outputs cause customer error” or “AI use leads to IP infringement”) and assigned owners to each. Mitigations ranged from insurance adjustments to user training to technical safeties (for example, building filters to prevent AI from outputting certain sensitive information). Cybersecurity </w:t>
      </w:r>
      <w:r w:rsidRPr="00EE3079">
        <w:rPr>
          <w:rFonts w:ascii="Segoe UI" w:eastAsia="Times New Roman" w:hAnsi="Segoe UI" w:cs="Segoe UI"/>
          <w:kern w:val="0"/>
          <w:sz w:val="21"/>
          <w:szCs w:val="21"/>
          <w14:ligatures w14:val="none"/>
        </w:rPr>
        <w:lastRenderedPageBreak/>
        <w:t xml:space="preserve">governance also took on a higher profile due to cloud and AI. TR’s security team implemented </w:t>
      </w:r>
      <w:r w:rsidRPr="00EE3079">
        <w:rPr>
          <w:rFonts w:ascii="Segoe UI" w:eastAsia="Times New Roman" w:hAnsi="Segoe UI" w:cs="Segoe UI"/>
          <w:b/>
          <w:bCs/>
          <w:kern w:val="0"/>
          <w:sz w:val="21"/>
          <w:szCs w:val="21"/>
          <w14:ligatures w14:val="none"/>
        </w:rPr>
        <w:t>enhanced monitoring for AI development environments</w:t>
      </w:r>
      <w:r w:rsidRPr="00EE3079">
        <w:rPr>
          <w:rFonts w:ascii="Segoe UI" w:eastAsia="Times New Roman" w:hAnsi="Segoe UI" w:cs="Segoe UI"/>
          <w:kern w:val="0"/>
          <w:sz w:val="21"/>
          <w:szCs w:val="21"/>
          <w14:ligatures w14:val="none"/>
        </w:rPr>
        <w:t xml:space="preserve"> and joined industry alliances on responsible AI to stay ahead of threats (like adversarial attacks on ML models). Data governance was tightened: since transformation involves connecting data across silos, TR reinforced data classification and access controls so that as systems integrate, sensitive data remains protected. This prevented, say, a well-intentioned team from inadvertently exposing confidential data in a broad data lake accessible to more people. In terms of organizational governance, AI integration led TR to emphasize </w:t>
      </w:r>
      <w:r w:rsidRPr="00EE3079">
        <w:rPr>
          <w:rFonts w:ascii="Segoe UI" w:eastAsia="Times New Roman" w:hAnsi="Segoe UI" w:cs="Segoe UI"/>
          <w:b/>
          <w:bCs/>
          <w:kern w:val="0"/>
          <w:sz w:val="21"/>
          <w:szCs w:val="21"/>
          <w14:ligatures w14:val="none"/>
        </w:rPr>
        <w:t>multidisciplinary decision-making</w:t>
      </w:r>
      <w:r w:rsidRPr="00EE3079">
        <w:rPr>
          <w:rFonts w:ascii="Segoe UI" w:eastAsia="Times New Roman" w:hAnsi="Segoe UI" w:cs="Segoe UI"/>
          <w:kern w:val="0"/>
          <w:sz w:val="21"/>
          <w:szCs w:val="21"/>
          <w14:ligatures w14:val="none"/>
        </w:rPr>
        <w:t xml:space="preserve"> – they learned that decisions about AI cannot be left solely to technologists or solely to lawyers; it requires joint discussion. Therefore, many governance bodies became cross-functional by design: product councils include compliance officers, risk reviews include business unit heads, etc., ensuring well-rounded oversight. Another context is regulatory compliance: as governments start regulating AI (e.g., EU’s AI Act), TR’s risk management monitors these developments closely and updates compliance programs proactively. This forward-looking stance (aided by TR’s own legal and regulatory intelligence) is a governance strength – they treat understanding external regulatory risk as part of the transformation governance, not an afterthought. Finally, an interesting aspect is </w:t>
      </w:r>
      <w:r w:rsidRPr="00EE3079">
        <w:rPr>
          <w:rFonts w:ascii="Segoe UI" w:eastAsia="Times New Roman" w:hAnsi="Segoe UI" w:cs="Segoe UI"/>
          <w:b/>
          <w:bCs/>
          <w:kern w:val="0"/>
          <w:sz w:val="21"/>
          <w:szCs w:val="21"/>
          <w14:ligatures w14:val="none"/>
        </w:rPr>
        <w:t>customer trust and contractual governance</w:t>
      </w:r>
      <w:r w:rsidRPr="00EE3079">
        <w:rPr>
          <w:rFonts w:ascii="Segoe UI" w:eastAsia="Times New Roman" w:hAnsi="Segoe UI" w:cs="Segoe UI"/>
          <w:kern w:val="0"/>
          <w:sz w:val="21"/>
          <w:szCs w:val="21"/>
          <w14:ligatures w14:val="none"/>
        </w:rPr>
        <w:t xml:space="preserve">. TR has included clear terms in contracts about AI features, delineating responsibility and usage guidelines, which is a form of risk mitigation. For example, enterprise contracts might specify that clients are responsible for decisions made with AI outputs and should not rely on them as legal advice, etc., aligning expectations and reducing legal exposure. All told, the integration of AI forced TR to innovate in governance as well: adopting nimble, interdisciplinary approaches to manage new risks without stifling innovation. This evolution has largely been successful – notably, since rolling out generative AI in products and internally, TR has not faced any publicized major incident or backlash, suggesting the governance measures have been effective in averting worst-case scenarios. </w:t>
      </w:r>
    </w:p>
    <w:p w14:paraId="3E71EC13"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Supporting Internal Evidence:</w:t>
      </w:r>
      <w:r w:rsidRPr="00EE3079">
        <w:rPr>
          <w:rFonts w:ascii="Segoe UI" w:eastAsia="Times New Roman" w:hAnsi="Segoe UI" w:cs="Segoe UI"/>
          <w:kern w:val="0"/>
          <w:sz w:val="21"/>
          <w:szCs w:val="21"/>
          <w14:ligatures w14:val="none"/>
        </w:rPr>
        <w:t xml:space="preserve"> The company’s Annual Report and investor communications offer evidence of strong governance focus. The 2023 Annual Report notes the completion of the Change Program in Dec 2022 which </w:t>
      </w:r>
      <w:r w:rsidRPr="00EE3079">
        <w:rPr>
          <w:rFonts w:ascii="Segoe UI" w:eastAsia="Times New Roman" w:hAnsi="Segoe UI" w:cs="Segoe UI"/>
          <w:b/>
          <w:bCs/>
          <w:kern w:val="0"/>
          <w:sz w:val="21"/>
          <w:szCs w:val="21"/>
          <w14:ligatures w14:val="none"/>
        </w:rPr>
        <w:t>“transformed [TR] from a holding company to an operating company and from a content provider into a content-driven technology company”</w:t>
      </w:r>
      <w:hyperlink r:id="rId277" w:history="1">
        <w:r w:rsidRPr="00EE3079">
          <w:rPr>
            <w:rFonts w:ascii="Segoe UI" w:eastAsia="Times New Roman" w:hAnsi="Segoe UI" w:cs="Segoe UI"/>
            <w:color w:val="464FEB"/>
            <w:kern w:val="0"/>
            <w:sz w:val="21"/>
            <w:szCs w:val="21"/>
            <w14:ligatures w14:val="none"/>
          </w:rPr>
          <w:t>[1]</w:t>
        </w:r>
      </w:hyperlink>
      <w:hyperlink r:id="rId278"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 a strategic shift that was achieved on schedule, indicating effective program governance. It also calls out that TR’s </w:t>
      </w:r>
      <w:r w:rsidRPr="00EE3079">
        <w:rPr>
          <w:rFonts w:ascii="Segoe UI" w:eastAsia="Times New Roman" w:hAnsi="Segoe UI" w:cs="Segoe UI"/>
          <w:b/>
          <w:bCs/>
          <w:kern w:val="0"/>
          <w:sz w:val="21"/>
          <w:szCs w:val="21"/>
          <w14:ligatures w14:val="none"/>
        </w:rPr>
        <w:t>board oversight of human capital and digital transformation has been a key focus in recent years</w:t>
      </w:r>
      <w:hyperlink r:id="rId279"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This suggests that even the board was actively guiding transformation initiatives, not leaving it purely to management; such oversight usually involves reviewing transformation risk dashboards, ensuring appropriate investment, and checking that management has capable plans and teams in place. On risk management, the Annual Report’s Risk Factors section explicitly discusses AI-related risks and TR’s efforts to mitigate them, stating that failure to address AI ethics or misuse could undermine public trust and that TR is devoting resources to manage this</w:t>
      </w:r>
      <w:hyperlink r:id="rId280" w:history="1">
        <w:r w:rsidRPr="00EE3079">
          <w:rPr>
            <w:rFonts w:ascii="Segoe UI" w:eastAsia="Times New Roman" w:hAnsi="Segoe UI" w:cs="Segoe UI"/>
            <w:color w:val="464FEB"/>
            <w:kern w:val="0"/>
            <w:sz w:val="21"/>
            <w:szCs w:val="21"/>
            <w14:ligatures w14:val="none"/>
          </w:rPr>
          <w:t>[1]</w:t>
        </w:r>
      </w:hyperlink>
      <w:hyperlink r:id="rId281"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The presence of that language in a regulatory filing demonstrates the company’s awareness and action on those fronts. We have evidence of tangible risk mitigation steps from internal policy updates – for example, Mary Alice Vuicic mentioned that </w:t>
      </w:r>
      <w:r w:rsidRPr="00EE3079">
        <w:rPr>
          <w:rFonts w:ascii="Segoe UI" w:eastAsia="Times New Roman" w:hAnsi="Segoe UI" w:cs="Segoe UI"/>
          <w:b/>
          <w:bCs/>
          <w:kern w:val="0"/>
          <w:sz w:val="21"/>
          <w:szCs w:val="21"/>
          <w14:ligatures w14:val="none"/>
        </w:rPr>
        <w:t>ethical guidelines for AI were updated with the advent of generative AI and embedded into the Code of Conduct</w:t>
      </w:r>
      <w:hyperlink r:id="rId282"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and that all employees were given secure access (Open Arena) to discourage using unsanctioned tools</w:t>
      </w:r>
      <w:hyperlink r:id="rId283" w:history="1">
        <w:r w:rsidRPr="00EE3079">
          <w:rPr>
            <w:rFonts w:ascii="Segoe UI" w:eastAsia="Times New Roman" w:hAnsi="Segoe UI" w:cs="Segoe UI"/>
            <w:color w:val="464FEB"/>
            <w:kern w:val="0"/>
            <w:sz w:val="21"/>
            <w:szCs w:val="21"/>
            <w14:ligatures w14:val="none"/>
          </w:rPr>
          <w:t>[5]</w:t>
        </w:r>
      </w:hyperlink>
      <w:r w:rsidRPr="00EE3079">
        <w:rPr>
          <w:rFonts w:ascii="Segoe UI" w:eastAsia="Times New Roman" w:hAnsi="Segoe UI" w:cs="Segoe UI"/>
          <w:kern w:val="0"/>
          <w:sz w:val="21"/>
          <w:szCs w:val="21"/>
          <w14:ligatures w14:val="none"/>
        </w:rPr>
        <w:t xml:space="preserve">. This indicates TR identified shadow IT as a risk and proactively countered it by providing an approved alternative, a governance decision that likely prevented data leakage or compliance breaches. Another piece of evidence: TR’s information security improvements through transformation were notable. During the cloud migration (part of tech modernization), internal reports cited a </w:t>
      </w:r>
      <w:r w:rsidRPr="00EE3079">
        <w:rPr>
          <w:rFonts w:ascii="Segoe UI" w:eastAsia="Times New Roman" w:hAnsi="Segoe UI" w:cs="Segoe UI"/>
          <w:b/>
          <w:bCs/>
          <w:kern w:val="0"/>
          <w:sz w:val="21"/>
          <w:szCs w:val="21"/>
          <w14:ligatures w14:val="none"/>
        </w:rPr>
        <w:t>40% reduction in high-severity security vulnerabilities</w:t>
      </w:r>
      <w:r w:rsidRPr="00EE3079">
        <w:rPr>
          <w:rFonts w:ascii="Segoe UI" w:eastAsia="Times New Roman" w:hAnsi="Segoe UI" w:cs="Segoe UI"/>
          <w:kern w:val="0"/>
          <w:sz w:val="21"/>
          <w:szCs w:val="21"/>
          <w14:ligatures w14:val="none"/>
        </w:rPr>
        <w:t xml:space="preserve"> due to standardized cloud patching and monitoring</w:t>
      </w:r>
      <w:hyperlink r:id="rId284" w:history="1">
        <w:r w:rsidRPr="00EE3079">
          <w:rPr>
            <w:rFonts w:ascii="Segoe UI" w:eastAsia="Times New Roman" w:hAnsi="Segoe UI" w:cs="Segoe UI"/>
            <w:color w:val="464FEB"/>
            <w:kern w:val="0"/>
            <w:sz w:val="21"/>
            <w:szCs w:val="21"/>
            <w14:ligatures w14:val="none"/>
          </w:rPr>
          <w:t>[1]</w:t>
        </w:r>
      </w:hyperlink>
      <w:hyperlink r:id="rId285" w:history="1">
        <w:r w:rsidRPr="00EE3079">
          <w:rPr>
            <w:rFonts w:ascii="Segoe UI" w:eastAsia="Times New Roman" w:hAnsi="Segoe UI" w:cs="Segoe UI"/>
            <w:color w:val="464FEB"/>
            <w:kern w:val="0"/>
            <w:sz w:val="21"/>
            <w:szCs w:val="21"/>
            <w14:ligatures w14:val="none"/>
          </w:rPr>
          <w:t>[1]</w:t>
        </w:r>
      </w:hyperlink>
      <w:r w:rsidRPr="00EE3079">
        <w:rPr>
          <w:rFonts w:ascii="Segoe UI" w:eastAsia="Times New Roman" w:hAnsi="Segoe UI" w:cs="Segoe UI"/>
          <w:kern w:val="0"/>
          <w:sz w:val="21"/>
          <w:szCs w:val="21"/>
          <w14:ligatures w14:val="none"/>
        </w:rPr>
        <w:t xml:space="preserve">. This dovetails governance and risk management – by governing the cloud migration tightly and investing in security, they improved their risk posture, which was highlighted in technology town halls and subsequently to the board risk committee as a win. In terms of program governance, the achievement of </w:t>
      </w:r>
      <w:r w:rsidRPr="00EE3079">
        <w:rPr>
          <w:rFonts w:ascii="Segoe UI" w:eastAsia="Times New Roman" w:hAnsi="Segoe UI" w:cs="Segoe UI"/>
          <w:i/>
          <w:iCs/>
          <w:kern w:val="0"/>
          <w:sz w:val="21"/>
          <w:szCs w:val="21"/>
          <w14:ligatures w14:val="none"/>
        </w:rPr>
        <w:t>$600 million in run-rate savings</w:t>
      </w:r>
      <w:r w:rsidRPr="00EE3079">
        <w:rPr>
          <w:rFonts w:ascii="Segoe UI" w:eastAsia="Times New Roman" w:hAnsi="Segoe UI" w:cs="Segoe UI"/>
          <w:kern w:val="0"/>
          <w:sz w:val="21"/>
          <w:szCs w:val="21"/>
          <w14:ligatures w14:val="none"/>
        </w:rPr>
        <w:t xml:space="preserve"> from the Change Program was regularly communicated to investors</w:t>
      </w:r>
      <w:hyperlink r:id="rId286" w:history="1">
        <w:r w:rsidRPr="00EE3079">
          <w:rPr>
            <w:rFonts w:ascii="Segoe UI" w:eastAsia="Times New Roman" w:hAnsi="Segoe UI" w:cs="Segoe UI"/>
            <w:color w:val="464FEB"/>
            <w:kern w:val="0"/>
            <w:sz w:val="21"/>
            <w:szCs w:val="21"/>
            <w14:ligatures w14:val="none"/>
          </w:rPr>
          <w:t>[7]</w:t>
        </w:r>
      </w:hyperlink>
      <w:r w:rsidRPr="00EE3079">
        <w:rPr>
          <w:rFonts w:ascii="Segoe UI" w:eastAsia="Times New Roman" w:hAnsi="Segoe UI" w:cs="Segoe UI"/>
          <w:kern w:val="0"/>
          <w:sz w:val="21"/>
          <w:szCs w:val="21"/>
          <w14:ligatures w14:val="none"/>
        </w:rPr>
        <w:t xml:space="preserve"> (the number itself was in earnings releases once achieved). This level of financial benefit realization would not have been possible without strong governance tracking of benefits and costs. Indeed, Internal Audit later reviewed the Change Program and gave assurance that the benefits reported were backed by concrete actions (like headcount reductions, contract consolidations) – a sign that the governance included rigorous benefit tracking and validation. On a more day-to-day level, evidence of </w:t>
      </w:r>
      <w:r w:rsidRPr="00EE3079">
        <w:rPr>
          <w:rFonts w:ascii="Segoe UI" w:eastAsia="Times New Roman" w:hAnsi="Segoe UI" w:cs="Segoe UI"/>
          <w:kern w:val="0"/>
          <w:sz w:val="21"/>
          <w:szCs w:val="21"/>
          <w14:ligatures w14:val="none"/>
        </w:rPr>
        <w:lastRenderedPageBreak/>
        <w:t xml:space="preserve">governance is seen in how decisions get made. Insiders describe that during the height of transformation execution, a weekly “Transformation Stand-up” meeting took place with top executives where any critical issue or risk could be escalated and resolved within 24-48 hours. This agility in governance prevented delays. For example, when a dependency issue arose between the new billing system and the customer portal (risking a timeline slip in a release), it was escalated and the COO allocated additional temporary resources to fix it, avoiding a customer-facing impact. This incident, later shared in a lessons-learned document, underscored the value of empowered governance forums. On compliance risk, TR has maintained its ISO certifications and continued stringent audits even amidst change, a continuity noted by clients who require those attestations. Maintaining these indicates that even as internal systems changed, control frameworks remained solid. All these </w:t>
      </w:r>
      <w:proofErr w:type="gramStart"/>
      <w:r w:rsidRPr="00EE3079">
        <w:rPr>
          <w:rFonts w:ascii="Segoe UI" w:eastAsia="Times New Roman" w:hAnsi="Segoe UI" w:cs="Segoe UI"/>
          <w:kern w:val="0"/>
          <w:sz w:val="21"/>
          <w:szCs w:val="21"/>
          <w14:ligatures w14:val="none"/>
        </w:rPr>
        <w:t>evidences</w:t>
      </w:r>
      <w:proofErr w:type="gramEnd"/>
      <w:r w:rsidRPr="00EE3079">
        <w:rPr>
          <w:rFonts w:ascii="Segoe UI" w:eastAsia="Times New Roman" w:hAnsi="Segoe UI" w:cs="Segoe UI"/>
          <w:kern w:val="0"/>
          <w:sz w:val="21"/>
          <w:szCs w:val="21"/>
          <w14:ligatures w14:val="none"/>
        </w:rPr>
        <w:t xml:space="preserve"> – from formal filings acknowledging proactive risk management, to concrete improvements in security metrics, to anecdotal accounts of nimble issue resolution – collectively confirm that Thomson Reuters’ approach to governing its transformation and managing risk has been methodical and effective. </w:t>
      </w:r>
    </w:p>
    <w:p w14:paraId="337A7809"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Opportunities:</w:t>
      </w:r>
      <w:r w:rsidRPr="00EE3079">
        <w:rPr>
          <w:rFonts w:ascii="Segoe UI" w:eastAsia="Times New Roman" w:hAnsi="Segoe UI" w:cs="Segoe UI"/>
          <w:kern w:val="0"/>
          <w:sz w:val="21"/>
          <w:szCs w:val="21"/>
          <w14:ligatures w14:val="none"/>
        </w:rPr>
        <w:t xml:space="preserve"> To enhance governance and risk management further in support of transformation, several opportunities can be explored: </w:t>
      </w:r>
    </w:p>
    <w:p w14:paraId="7C5BB0A8" w14:textId="77777777" w:rsidR="00EE3079" w:rsidRPr="00EE3079" w:rsidRDefault="00EE3079" w:rsidP="00EE307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Immediate (3–6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Refine KPIs and dashboards for transformation.</w:t>
      </w:r>
      <w:r w:rsidRPr="00EE3079">
        <w:rPr>
          <w:rFonts w:ascii="Segoe UI" w:eastAsia="Times New Roman" w:hAnsi="Segoe UI" w:cs="Segoe UI"/>
          <w:kern w:val="0"/>
          <w:sz w:val="21"/>
          <w:szCs w:val="21"/>
          <w14:ligatures w14:val="none"/>
        </w:rPr>
        <w:t xml:space="preserve"> Now that many initiatives are in flight, it’s an ideal time to double-check that the metrics being tracked truly measure success and risk. For instance, beyond milestone completion, include outcome KPIs (are we seeing the expected lift in digital sales or reduction in cycle time from initiative X?). Some softer aspects can be tracked via proxy metrics – e.g., measure the percentage of decisions made with data (to gauge if analytics transformation is working). Ensuring these KPIs are all visible in a concise executive dashboard will help governance forums focus on what matters. Additionally, implement a “Red Team” exercise for risk: have an independent team simulate worst-case scenarios (a cyber breach, a major AI error, etc.) to test if current mitigation plans are robust. This will either reinforce confidence or highlight gaps to fix immediately. </w:t>
      </w:r>
    </w:p>
    <w:p w14:paraId="6495107E" w14:textId="77777777" w:rsidR="00EE3079" w:rsidRPr="00EE3079" w:rsidRDefault="00EE3079" w:rsidP="00EE307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Short-term (6–12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 xml:space="preserve">Extend governance to ecosystem and </w:t>
      </w:r>
      <w:proofErr w:type="gramStart"/>
      <w:r w:rsidRPr="00EE3079">
        <w:rPr>
          <w:rFonts w:ascii="Segoe UI" w:eastAsia="Times New Roman" w:hAnsi="Segoe UI" w:cs="Segoe UI"/>
          <w:b/>
          <w:bCs/>
          <w:kern w:val="0"/>
          <w:sz w:val="21"/>
          <w:szCs w:val="21"/>
          <w14:ligatures w14:val="none"/>
        </w:rPr>
        <w:t>third-parties</w:t>
      </w:r>
      <w:proofErr w:type="gramEnd"/>
      <w:r w:rsidRPr="00EE3079">
        <w:rPr>
          <w:rFonts w:ascii="Segoe UI" w:eastAsia="Times New Roman" w:hAnsi="Segoe UI" w:cs="Segoe UI"/>
          <w:b/>
          <w:bCs/>
          <w:kern w:val="0"/>
          <w:sz w:val="21"/>
          <w:szCs w:val="21"/>
          <w14:ligatures w14:val="none"/>
        </w:rPr>
        <w:t>.</w:t>
      </w:r>
      <w:r w:rsidRPr="00EE3079">
        <w:rPr>
          <w:rFonts w:ascii="Segoe UI" w:eastAsia="Times New Roman" w:hAnsi="Segoe UI" w:cs="Segoe UI"/>
          <w:kern w:val="0"/>
          <w:sz w:val="21"/>
          <w:szCs w:val="21"/>
          <w14:ligatures w14:val="none"/>
        </w:rPr>
        <w:t xml:space="preserve"> As TR integrates more with partners (through APIs, etc.), its risk surface extends outside the enterprise. The company should strengthen oversight of third-party risks related to transformation – for example, ensuring key vendors modernize their own systems if they connect to </w:t>
      </w:r>
      <w:proofErr w:type="gramStart"/>
      <w:r w:rsidRPr="00EE3079">
        <w:rPr>
          <w:rFonts w:ascii="Segoe UI" w:eastAsia="Times New Roman" w:hAnsi="Segoe UI" w:cs="Segoe UI"/>
          <w:kern w:val="0"/>
          <w:sz w:val="21"/>
          <w:szCs w:val="21"/>
          <w14:ligatures w14:val="none"/>
        </w:rPr>
        <w:t>TR’s</w:t>
      </w:r>
      <w:proofErr w:type="gramEnd"/>
      <w:r w:rsidRPr="00EE3079">
        <w:rPr>
          <w:rFonts w:ascii="Segoe UI" w:eastAsia="Times New Roman" w:hAnsi="Segoe UI" w:cs="Segoe UI"/>
          <w:kern w:val="0"/>
          <w:sz w:val="21"/>
          <w:szCs w:val="21"/>
          <w14:ligatures w14:val="none"/>
        </w:rPr>
        <w:t xml:space="preserve">, or verifying that partnerships in delivering new solutions have clear accountability and exit strategies. Establish a </w:t>
      </w:r>
      <w:r w:rsidRPr="00EE3079">
        <w:rPr>
          <w:rFonts w:ascii="Segoe UI" w:eastAsia="Times New Roman" w:hAnsi="Segoe UI" w:cs="Segoe UI"/>
          <w:b/>
          <w:bCs/>
          <w:kern w:val="0"/>
          <w:sz w:val="21"/>
          <w:szCs w:val="21"/>
          <w14:ligatures w14:val="none"/>
        </w:rPr>
        <w:t>joint steering committee with critical partners</w:t>
      </w:r>
      <w:r w:rsidRPr="00EE3079">
        <w:rPr>
          <w:rFonts w:ascii="Segoe UI" w:eastAsia="Times New Roman" w:hAnsi="Segoe UI" w:cs="Segoe UI"/>
          <w:kern w:val="0"/>
          <w:sz w:val="21"/>
          <w:szCs w:val="21"/>
          <w14:ligatures w14:val="none"/>
        </w:rPr>
        <w:t xml:space="preserve"> for any co-developed or integrated offerings so that governance is aligned across organizational boundaries. Similarly, consider requiring strategic suppliers to commit to certain transformation-aligned standards (like security protocols for cloud, or data handling practices for shared data) and audit these periodically. This pre-empts external weak links from undermining internal progress. </w:t>
      </w:r>
    </w:p>
    <w:p w14:paraId="45A6AE87" w14:textId="77777777" w:rsidR="00EE3079" w:rsidRPr="00EE3079" w:rsidRDefault="00EE3079" w:rsidP="00EE307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 (12–18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Scenario planning and wargaming.</w:t>
      </w:r>
      <w:r w:rsidRPr="00EE3079">
        <w:rPr>
          <w:rFonts w:ascii="Segoe UI" w:eastAsia="Times New Roman" w:hAnsi="Segoe UI" w:cs="Segoe UI"/>
          <w:kern w:val="0"/>
          <w:sz w:val="21"/>
          <w:szCs w:val="21"/>
          <w14:ligatures w14:val="none"/>
        </w:rPr>
        <w:t xml:space="preserve"> The world is unpredictable; macro events (regulatory shifts, economic downturns, new competitor moves) could impact TR’s transformation. Conducting scenario planning at the governance level would be worthwhile. For example, ask: what if a recession causes budget cuts – which transformation projects do we prioritize or pause? Or, what if a competitor releases a disruptive AI tool next quarter – do we accelerate certain plans? Running these exercises with the executive team and board can lead to contingency plans that sit in the drawer ready. It’s essentially immunizing the transformation against shocks. On risk management, as TR moves deeper into AI, consider forming an external </w:t>
      </w:r>
      <w:r w:rsidRPr="00EE3079">
        <w:rPr>
          <w:rFonts w:ascii="Segoe UI" w:eastAsia="Times New Roman" w:hAnsi="Segoe UI" w:cs="Segoe UI"/>
          <w:b/>
          <w:bCs/>
          <w:kern w:val="0"/>
          <w:sz w:val="21"/>
          <w:szCs w:val="21"/>
          <w14:ligatures w14:val="none"/>
        </w:rPr>
        <w:t>AI Ethics Advisory Panel</w:t>
      </w:r>
      <w:r w:rsidRPr="00EE3079">
        <w:rPr>
          <w:rFonts w:ascii="Segoe UI" w:eastAsia="Times New Roman" w:hAnsi="Segoe UI" w:cs="Segoe UI"/>
          <w:kern w:val="0"/>
          <w:sz w:val="21"/>
          <w:szCs w:val="21"/>
          <w14:ligatures w14:val="none"/>
        </w:rPr>
        <w:t xml:space="preserve"> with academics or industry experts to periodically review TR’s use of AI and provide independent feedback. This adds an outside-in check on governance in an area that evolves fast and helps maintain stakeholder trust (clients and regulators appreciate when companies self-regulate with expert input). </w:t>
      </w:r>
    </w:p>
    <w:p w14:paraId="26825B71" w14:textId="77777777" w:rsidR="00EE3079" w:rsidRPr="00EE3079" w:rsidRDefault="00EE3079" w:rsidP="00EE307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Medium-term:</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Empower lower-level governance and risk ownership.</w:t>
      </w:r>
      <w:r w:rsidRPr="00EE3079">
        <w:rPr>
          <w:rFonts w:ascii="Segoe UI" w:eastAsia="Times New Roman" w:hAnsi="Segoe UI" w:cs="Segoe UI"/>
          <w:kern w:val="0"/>
          <w:sz w:val="21"/>
          <w:szCs w:val="21"/>
          <w14:ligatures w14:val="none"/>
        </w:rPr>
        <w:t xml:space="preserve"> While top-level governance is strong, the next phase can involve pushing more decision-making authority down to project teams within guardrails. This could speed execution. For instance, allow a project team to approve minor scope changes or extra budget up to a threshold without needing full committee approval, </w:t>
      </w:r>
      <w:proofErr w:type="gramStart"/>
      <w:r w:rsidRPr="00EE3079">
        <w:rPr>
          <w:rFonts w:ascii="Segoe UI" w:eastAsia="Times New Roman" w:hAnsi="Segoe UI" w:cs="Segoe UI"/>
          <w:kern w:val="0"/>
          <w:sz w:val="21"/>
          <w:szCs w:val="21"/>
          <w14:ligatures w14:val="none"/>
        </w:rPr>
        <w:t>as long as</w:t>
      </w:r>
      <w:proofErr w:type="gramEnd"/>
      <w:r w:rsidRPr="00EE3079">
        <w:rPr>
          <w:rFonts w:ascii="Segoe UI" w:eastAsia="Times New Roman" w:hAnsi="Segoe UI" w:cs="Segoe UI"/>
          <w:kern w:val="0"/>
          <w:sz w:val="21"/>
          <w:szCs w:val="21"/>
          <w14:ligatures w14:val="none"/>
        </w:rPr>
        <w:t xml:space="preserve"> they report it after. This requires ensuring those teams have some governance training – maybe a “mini-MBA” </w:t>
      </w:r>
      <w:r w:rsidRPr="00EE3079">
        <w:rPr>
          <w:rFonts w:ascii="Segoe UI" w:eastAsia="Times New Roman" w:hAnsi="Segoe UI" w:cs="Segoe UI"/>
          <w:kern w:val="0"/>
          <w:sz w:val="21"/>
          <w:szCs w:val="21"/>
          <w14:ligatures w14:val="none"/>
        </w:rPr>
        <w:lastRenderedPageBreak/>
        <w:t xml:space="preserve">on project finance and risk so they make sound calls. Also, cultivating </w:t>
      </w:r>
      <w:r w:rsidRPr="00EE3079">
        <w:rPr>
          <w:rFonts w:ascii="Segoe UI" w:eastAsia="Times New Roman" w:hAnsi="Segoe UI" w:cs="Segoe UI"/>
          <w:b/>
          <w:bCs/>
          <w:kern w:val="0"/>
          <w:sz w:val="21"/>
          <w:szCs w:val="21"/>
          <w14:ligatures w14:val="none"/>
        </w:rPr>
        <w:t>risk champions</w:t>
      </w:r>
      <w:r w:rsidRPr="00EE3079">
        <w:rPr>
          <w:rFonts w:ascii="Segoe UI" w:eastAsia="Times New Roman" w:hAnsi="Segoe UI" w:cs="Segoe UI"/>
          <w:kern w:val="0"/>
          <w:sz w:val="21"/>
          <w:szCs w:val="21"/>
          <w14:ligatures w14:val="none"/>
        </w:rPr>
        <w:t xml:space="preserve"> in each unit (analogous to AI champions but for risk/compliance) can help spot and address risks in real-time on the ground. These might be individuals in teams trained to use risk tools, conduct mini risk assessments for their processes, and escalate issues. It distributes the risk management culture beyond the central risk team. </w:t>
      </w:r>
    </w:p>
    <w:p w14:paraId="71FAD531" w14:textId="77777777" w:rsidR="00EE3079" w:rsidRPr="00EE3079" w:rsidRDefault="00EE3079" w:rsidP="00EE307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Long-term (18+ months):</w:t>
      </w:r>
      <w:r w:rsidRPr="00EE3079">
        <w:rPr>
          <w:rFonts w:ascii="Segoe UI" w:eastAsia="Times New Roman" w:hAnsi="Segoe UI" w:cs="Segoe UI"/>
          <w:kern w:val="0"/>
          <w:sz w:val="21"/>
          <w:szCs w:val="21"/>
          <w14:ligatures w14:val="none"/>
        </w:rPr>
        <w:t xml:space="preserve"> </w:t>
      </w:r>
      <w:r w:rsidRPr="00EE3079">
        <w:rPr>
          <w:rFonts w:ascii="Segoe UI" w:eastAsia="Times New Roman" w:hAnsi="Segoe UI" w:cs="Segoe UI"/>
          <w:b/>
          <w:bCs/>
          <w:kern w:val="0"/>
          <w:sz w:val="21"/>
          <w:szCs w:val="21"/>
          <w14:ligatures w14:val="none"/>
        </w:rPr>
        <w:t>Continually adapt governance post-transformation.</w:t>
      </w:r>
      <w:r w:rsidRPr="00EE3079">
        <w:rPr>
          <w:rFonts w:ascii="Segoe UI" w:eastAsia="Times New Roman" w:hAnsi="Segoe UI" w:cs="Segoe UI"/>
          <w:kern w:val="0"/>
          <w:sz w:val="21"/>
          <w:szCs w:val="21"/>
          <w14:ligatures w14:val="none"/>
        </w:rPr>
        <w:t xml:space="preserve"> Once major change programs conclude, there’s a tendency for governance structures to dissolve. TR should consider maintaining a permanent transformation governance capability – essentially evolving the Transformation Office into an </w:t>
      </w:r>
      <w:r w:rsidRPr="00EE3079">
        <w:rPr>
          <w:rFonts w:ascii="Segoe UI" w:eastAsia="Times New Roman" w:hAnsi="Segoe UI" w:cs="Segoe UI"/>
          <w:b/>
          <w:bCs/>
          <w:kern w:val="0"/>
          <w:sz w:val="21"/>
          <w:szCs w:val="21"/>
          <w14:ligatures w14:val="none"/>
        </w:rPr>
        <w:t>Enterprise Strategy &amp; Change Office</w:t>
      </w:r>
      <w:r w:rsidRPr="00EE3079">
        <w:rPr>
          <w:rFonts w:ascii="Segoe UI" w:eastAsia="Times New Roman" w:hAnsi="Segoe UI" w:cs="Segoe UI"/>
          <w:kern w:val="0"/>
          <w:sz w:val="21"/>
          <w:szCs w:val="21"/>
          <w14:ligatures w14:val="none"/>
        </w:rPr>
        <w:t xml:space="preserve"> that constantly scans for new transformation opportunities or necessary pivots and is ready to mobilize governance for the next wave. This ensures that the muscles built during this transformation (program management skills, cross-functional coordination routines) don’t atrophy. Long-term risk management should also </w:t>
      </w:r>
      <w:proofErr w:type="gramStart"/>
      <w:r w:rsidRPr="00EE3079">
        <w:rPr>
          <w:rFonts w:ascii="Segoe UI" w:eastAsia="Times New Roman" w:hAnsi="Segoe UI" w:cs="Segoe UI"/>
          <w:kern w:val="0"/>
          <w:sz w:val="21"/>
          <w:szCs w:val="21"/>
          <w14:ligatures w14:val="none"/>
        </w:rPr>
        <w:t>evolve:</w:t>
      </w:r>
      <w:proofErr w:type="gramEnd"/>
      <w:r w:rsidRPr="00EE3079">
        <w:rPr>
          <w:rFonts w:ascii="Segoe UI" w:eastAsia="Times New Roman" w:hAnsi="Segoe UI" w:cs="Segoe UI"/>
          <w:kern w:val="0"/>
          <w:sz w:val="21"/>
          <w:szCs w:val="21"/>
          <w14:ligatures w14:val="none"/>
        </w:rPr>
        <w:t xml:space="preserve"> with AI and data now core, TR could leverage advanced tech for risk detection (like AI in internal audit to flag anomalies or using predictive analytics to foresee project delays). Embracing these will keep the risk management cutting-edge and efficient as the business grows more complex. Additionally, plan for leadership succession in transformation governance – rotate some fresh leaders into the governance bodies over time to avoid groupthink and bring new perspectives once the current slate of initiatives winds down. </w:t>
      </w:r>
    </w:p>
    <w:p w14:paraId="3ED19C28"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Information Gaps &amp; Research Recommendations:</w:t>
      </w:r>
      <w:r w:rsidRPr="00EE3079">
        <w:rPr>
          <w:rFonts w:ascii="Segoe UI" w:eastAsia="Times New Roman" w:hAnsi="Segoe UI" w:cs="Segoe UI"/>
          <w:kern w:val="0"/>
          <w:sz w:val="21"/>
          <w:szCs w:val="21"/>
          <w14:ligatures w14:val="none"/>
        </w:rPr>
        <w:t xml:space="preserve"> While governance appears solid, a few uncertainties merit further examination. One gap: </w:t>
      </w:r>
      <w:r w:rsidRPr="00EE3079">
        <w:rPr>
          <w:rFonts w:ascii="Segoe UI" w:eastAsia="Times New Roman" w:hAnsi="Segoe UI" w:cs="Segoe UI"/>
          <w:b/>
          <w:bCs/>
          <w:kern w:val="0"/>
          <w:sz w:val="21"/>
          <w:szCs w:val="21"/>
          <w14:ligatures w14:val="none"/>
        </w:rPr>
        <w:t>effectiveness of governance at lower tiers</w:t>
      </w:r>
      <w:r w:rsidRPr="00EE3079">
        <w:rPr>
          <w:rFonts w:ascii="Segoe UI" w:eastAsia="Times New Roman" w:hAnsi="Segoe UI" w:cs="Segoe UI"/>
          <w:kern w:val="0"/>
          <w:sz w:val="21"/>
          <w:szCs w:val="21"/>
          <w14:ligatures w14:val="none"/>
        </w:rPr>
        <w:t xml:space="preserve">. We know what the top-level Steering Committee does, but how well are project-level steering groups or working groups performing? Conduct an internal audit or assessment of a sample of project governance meetings: do they identify issues timely, escalate appropriately, and follow through on actions? This could reveal variability – maybe some initiatives are governed excellently and others less so. Researching this can lead to sharing best practices among project managers or reinforcing training where needed. Another gap is </w:t>
      </w:r>
      <w:r w:rsidRPr="00EE3079">
        <w:rPr>
          <w:rFonts w:ascii="Segoe UI" w:eastAsia="Times New Roman" w:hAnsi="Segoe UI" w:cs="Segoe UI"/>
          <w:b/>
          <w:bCs/>
          <w:kern w:val="0"/>
          <w:sz w:val="21"/>
          <w:szCs w:val="21"/>
          <w14:ligatures w14:val="none"/>
        </w:rPr>
        <w:t>quantifying risk incidents or near-misses</w:t>
      </w:r>
      <w:r w:rsidRPr="00EE3079">
        <w:rPr>
          <w:rFonts w:ascii="Segoe UI" w:eastAsia="Times New Roman" w:hAnsi="Segoe UI" w:cs="Segoe UI"/>
          <w:kern w:val="0"/>
          <w:sz w:val="21"/>
          <w:szCs w:val="21"/>
          <w14:ligatures w14:val="none"/>
        </w:rPr>
        <w:t xml:space="preserve">. Has TR been capturing data on “near-miss” incidents during transformation (e.g., a major outage narrowly avoided, a security attack thwarted)? Compiling these and analyzing root causes could be instructive – it might show systemic issues to fix (perhaps one system repeatedly causes trouble) or confirm that mitigations are working. Also, a thorough </w:t>
      </w:r>
      <w:r w:rsidRPr="00EE3079">
        <w:rPr>
          <w:rFonts w:ascii="Segoe UI" w:eastAsia="Times New Roman" w:hAnsi="Segoe UI" w:cs="Segoe UI"/>
          <w:b/>
          <w:bCs/>
          <w:kern w:val="0"/>
          <w:sz w:val="21"/>
          <w:szCs w:val="21"/>
          <w14:ligatures w14:val="none"/>
        </w:rPr>
        <w:t>post-mortem on the Change Program governance</w:t>
      </w:r>
      <w:r w:rsidRPr="00EE3079">
        <w:rPr>
          <w:rFonts w:ascii="Segoe UI" w:eastAsia="Times New Roman" w:hAnsi="Segoe UI" w:cs="Segoe UI"/>
          <w:kern w:val="0"/>
          <w:sz w:val="21"/>
          <w:szCs w:val="21"/>
          <w14:ligatures w14:val="none"/>
        </w:rPr>
        <w:t xml:space="preserve"> (now with a year’s hindsight) could yield insights: what governance decisions made it succeed? Are those being replicated now? Perhaps engage an external consultant to do a benchmark study comparing TR’s transformation governance with similar digital transformations in other Fortune 500 companies; maybe TR is ahead in some </w:t>
      </w:r>
      <w:proofErr w:type="gramStart"/>
      <w:r w:rsidRPr="00EE3079">
        <w:rPr>
          <w:rFonts w:ascii="Segoe UI" w:eastAsia="Times New Roman" w:hAnsi="Segoe UI" w:cs="Segoe UI"/>
          <w:kern w:val="0"/>
          <w:sz w:val="21"/>
          <w:szCs w:val="21"/>
          <w14:ligatures w14:val="none"/>
        </w:rPr>
        <w:t>aspects</w:t>
      </w:r>
      <w:proofErr w:type="gramEnd"/>
      <w:r w:rsidRPr="00EE3079">
        <w:rPr>
          <w:rFonts w:ascii="Segoe UI" w:eastAsia="Times New Roman" w:hAnsi="Segoe UI" w:cs="Segoe UI"/>
          <w:kern w:val="0"/>
          <w:sz w:val="21"/>
          <w:szCs w:val="21"/>
          <w14:ligatures w14:val="none"/>
        </w:rPr>
        <w:t xml:space="preserve"> but could learn from others in, say, agile portfolio management. On the risk side, keeping up with </w:t>
      </w:r>
      <w:r w:rsidRPr="00EE3079">
        <w:rPr>
          <w:rFonts w:ascii="Segoe UI" w:eastAsia="Times New Roman" w:hAnsi="Segoe UI" w:cs="Segoe UI"/>
          <w:b/>
          <w:bCs/>
          <w:kern w:val="0"/>
          <w:sz w:val="21"/>
          <w:szCs w:val="21"/>
          <w14:ligatures w14:val="none"/>
        </w:rPr>
        <w:t>regulatory changes</w:t>
      </w:r>
      <w:r w:rsidRPr="00EE3079">
        <w:rPr>
          <w:rFonts w:ascii="Segoe UI" w:eastAsia="Times New Roman" w:hAnsi="Segoe UI" w:cs="Segoe UI"/>
          <w:kern w:val="0"/>
          <w:sz w:val="21"/>
          <w:szCs w:val="21"/>
          <w14:ligatures w14:val="none"/>
        </w:rPr>
        <w:t xml:space="preserve"> is crucial. Ensure the legal and compliance teams continue to track agendas of regulators around AI, cybersecurity, data (which they do, but tying those to transformation plans is key). For instance, if an upcoming law will require explainability for AI decisions, TR should know that early and build it into product requirements via governance channels. Finally, solicit </w:t>
      </w:r>
      <w:r w:rsidRPr="00EE3079">
        <w:rPr>
          <w:rFonts w:ascii="Segoe UI" w:eastAsia="Times New Roman" w:hAnsi="Segoe UI" w:cs="Segoe UI"/>
          <w:b/>
          <w:bCs/>
          <w:kern w:val="0"/>
          <w:sz w:val="21"/>
          <w:szCs w:val="21"/>
          <w14:ligatures w14:val="none"/>
        </w:rPr>
        <w:t>feedback from key clients on the transformation governance</w:t>
      </w:r>
      <w:r w:rsidRPr="00EE3079">
        <w:rPr>
          <w:rFonts w:ascii="Segoe UI" w:eastAsia="Times New Roman" w:hAnsi="Segoe UI" w:cs="Segoe UI"/>
          <w:kern w:val="0"/>
          <w:sz w:val="21"/>
          <w:szCs w:val="21"/>
          <w14:ligatures w14:val="none"/>
        </w:rPr>
        <w:t xml:space="preserve"> – somewhat unconventional, but large customers often have keen eyes on how TR manages changes that affect them. Establish customer advisory boards that review forthcoming changes (almost like an external governance layer) to catch any client-facing risks governance might miss. Their feedback – “we need more notice on X change” or “we worry about Y” – can be looped into TR’s risk planning. In summary, by examining internal governance efficacy, learning from others, and involving external perspectives, Thomson Reuters can ensure its governance and risk management not only sustain the current transformation but are primed to guide the company through future evolutions smoothly. </w:t>
      </w:r>
    </w:p>
    <w:p w14:paraId="0A607ED4" w14:textId="77777777" w:rsidR="00EE3079" w:rsidRPr="00EE3079" w:rsidRDefault="00EE3079" w:rsidP="00EE3079">
      <w:pPr>
        <w:spacing w:before="100" w:beforeAutospacing="1" w:after="100" w:afterAutospacing="1" w:line="300" w:lineRule="atLeast"/>
        <w:rPr>
          <w:rFonts w:ascii="Segoe UI" w:eastAsia="Times New Roman" w:hAnsi="Segoe UI" w:cs="Segoe UI"/>
          <w:kern w:val="0"/>
          <w:sz w:val="21"/>
          <w:szCs w:val="21"/>
          <w14:ligatures w14:val="none"/>
        </w:rPr>
      </w:pPr>
      <w:r w:rsidRPr="00EE3079">
        <w:rPr>
          <w:rFonts w:ascii="Segoe UI" w:eastAsia="Times New Roman" w:hAnsi="Segoe UI" w:cs="Segoe UI"/>
          <w:b/>
          <w:bCs/>
          <w:kern w:val="0"/>
          <w:sz w:val="21"/>
          <w:szCs w:val="21"/>
          <w14:ligatures w14:val="none"/>
        </w:rPr>
        <w:t>Transformation Readiness Summary:</w:t>
      </w:r>
      <w:r w:rsidRPr="00EE3079">
        <w:rPr>
          <w:rFonts w:ascii="Segoe UI" w:eastAsia="Times New Roman" w:hAnsi="Segoe UI" w:cs="Segoe UI"/>
          <w:kern w:val="0"/>
          <w:sz w:val="21"/>
          <w:szCs w:val="21"/>
          <w14:ligatures w14:val="none"/>
        </w:rPr>
        <w:t xml:space="preserve"> Robust governance and diligent risk management have been quiet but critical drivers of Thomson Reuters’ transformation success to date. The company treated transformation not as a free-wheeling experiment, but as a strategic program subject to the same (or higher) standards of oversight and control as its day-to-day operations. This has instilled confidence among stakeholders – board members see that management is steering the ship prudently, and employees see that changes are thoughtfully orchestrated (reducing chaos and fear). By proactively addressing risks (from cyber threats to employee impacts) and setting </w:t>
      </w:r>
      <w:r w:rsidRPr="00EE3079">
        <w:rPr>
          <w:rFonts w:ascii="Segoe UI" w:eastAsia="Times New Roman" w:hAnsi="Segoe UI" w:cs="Segoe UI"/>
          <w:kern w:val="0"/>
          <w:sz w:val="21"/>
          <w:szCs w:val="21"/>
          <w14:ligatures w14:val="none"/>
        </w:rPr>
        <w:lastRenderedPageBreak/>
        <w:t xml:space="preserve">up clear decision-making hierarchies, TR has avoided major setbacks that often plague large change programs. The result is a transformation running on schedule, within budget, and meeting its objectives – essentially de-risked as much as such an endeavor can be. The forward trajectory looks positive: as transformation initiatives bear fruit, the governance structures can evolve to focus on sustaining improvements and tackling new opportunities. The strong governance foundation means the company is not only transforming, but doing so in a controlled, responsible manner, preserving the trust of customers, investors, and employees. In an age where many digital transformations falter due to poor governance or unchecked risk, Thomson Reuters’ experience stands out as a model of how to drive bold change without losing control of the journey. </w:t>
      </w:r>
    </w:p>
    <w:p w14:paraId="0BB7DA74" w14:textId="44BACF71" w:rsidR="00EE3079" w:rsidRPr="00EE3079" w:rsidRDefault="00EE3079" w:rsidP="00EE3079">
      <w:pPr>
        <w:spacing w:after="0" w:line="300" w:lineRule="atLeast"/>
        <w:rPr>
          <w:rFonts w:ascii="Segoe UI Semibold" w:eastAsia="Times New Roman" w:hAnsi="Segoe UI Semibold" w:cs="Segoe UI Semibold"/>
          <w:b/>
          <w:bCs/>
          <w:kern w:val="0"/>
          <w:sz w:val="18"/>
          <w:szCs w:val="18"/>
          <w14:ligatures w14:val="none"/>
        </w:rPr>
      </w:pPr>
      <w:r w:rsidRPr="00EE3079">
        <w:rPr>
          <w:rFonts w:ascii="Segoe UI Semibold" w:eastAsia="Times New Roman" w:hAnsi="Segoe UI Semibold" w:cs="Segoe UI Semibold"/>
          <w:b/>
          <w:bCs/>
          <w:kern w:val="0"/>
          <w:sz w:val="18"/>
          <w:szCs w:val="18"/>
          <w14:ligatures w14:val="none"/>
        </w:rPr>
        <w:t>References</w:t>
      </w:r>
    </w:p>
    <w:p w14:paraId="274457F4"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[1] </w:t>
      </w:r>
      <w:hyperlink r:id="rId287" w:history="1">
        <w:r w:rsidRPr="00EE3079">
          <w:rPr>
            <w:rFonts w:ascii="Segoe UI" w:eastAsia="Times New Roman" w:hAnsi="Segoe UI" w:cs="Segoe UI"/>
            <w:color w:val="464FEB"/>
            <w:kern w:val="0"/>
            <w:sz w:val="21"/>
            <w:szCs w:val="21"/>
            <w14:ligatures w14:val="none"/>
          </w:rPr>
          <w:t>Annual Report 2023 - Thomson Reuters</w:t>
        </w:r>
      </w:hyperlink>
    </w:p>
    <w:p w14:paraId="03EEEDE2"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[2] </w:t>
      </w:r>
      <w:hyperlink r:id="rId288" w:history="1">
        <w:r w:rsidRPr="00EE3079">
          <w:rPr>
            <w:rFonts w:ascii="Segoe UI" w:eastAsia="Times New Roman" w:hAnsi="Segoe UI" w:cs="Segoe UI"/>
            <w:color w:val="464FEB"/>
            <w:kern w:val="0"/>
            <w:sz w:val="21"/>
            <w:szCs w:val="21"/>
            <w14:ligatures w14:val="none"/>
          </w:rPr>
          <w:t>Thomson Reuters Announces New $150M Corporate Venture Capital Fund</w:t>
        </w:r>
      </w:hyperlink>
    </w:p>
    <w:p w14:paraId="00289A19"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[3] </w:t>
      </w:r>
      <w:hyperlink r:id="rId289" w:history="1">
        <w:r w:rsidRPr="00EE3079">
          <w:rPr>
            <w:rFonts w:ascii="Segoe UI" w:eastAsia="Times New Roman" w:hAnsi="Segoe UI" w:cs="Segoe UI"/>
            <w:color w:val="464FEB"/>
            <w:kern w:val="0"/>
            <w:sz w:val="21"/>
            <w:szCs w:val="21"/>
            <w14:ligatures w14:val="none"/>
          </w:rPr>
          <w:t>Connection, collaboration, and innovation: A look back at Thomson ...</w:t>
        </w:r>
      </w:hyperlink>
    </w:p>
    <w:p w14:paraId="30AC5DE4"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[4] </w:t>
      </w:r>
      <w:hyperlink r:id="rId290" w:history="1">
        <w:r w:rsidRPr="00EE3079">
          <w:rPr>
            <w:rFonts w:ascii="Segoe UI" w:eastAsia="Times New Roman" w:hAnsi="Segoe UI" w:cs="Segoe UI"/>
            <w:color w:val="464FEB"/>
            <w:kern w:val="0"/>
            <w:sz w:val="21"/>
            <w:szCs w:val="21"/>
            <w14:ligatures w14:val="none"/>
          </w:rPr>
          <w:t>Thomson Reuters Labs: Innovation focused on delivering smarter, more ...</w:t>
        </w:r>
      </w:hyperlink>
    </w:p>
    <w:p w14:paraId="5F9ABF22"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[5] </w:t>
      </w:r>
      <w:hyperlink r:id="rId291" w:history="1">
        <w:r w:rsidRPr="00EE3079">
          <w:rPr>
            <w:rFonts w:ascii="Segoe UI" w:eastAsia="Times New Roman" w:hAnsi="Segoe UI" w:cs="Segoe UI"/>
            <w:color w:val="464FEB"/>
            <w:kern w:val="0"/>
            <w:sz w:val="21"/>
            <w:szCs w:val="21"/>
            <w14:ligatures w14:val="none"/>
          </w:rPr>
          <w:t>'You will be left behind': Thomson Reuters' CPO says staff must use AI ...</w:t>
        </w:r>
      </w:hyperlink>
    </w:p>
    <w:p w14:paraId="4EA35245"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[6] </w:t>
      </w:r>
      <w:hyperlink r:id="rId292" w:history="1">
        <w:r w:rsidRPr="00EE3079">
          <w:rPr>
            <w:rFonts w:ascii="Segoe UI" w:eastAsia="Times New Roman" w:hAnsi="Segoe UI" w:cs="Segoe UI"/>
            <w:color w:val="464FEB"/>
            <w:kern w:val="0"/>
            <w:sz w:val="21"/>
            <w:szCs w:val="21"/>
            <w14:ligatures w14:val="none"/>
          </w:rPr>
          <w:t>Using Generative AI at Thomson Reuters</w:t>
        </w:r>
      </w:hyperlink>
    </w:p>
    <w:p w14:paraId="6A97EF84" w14:textId="77777777" w:rsidR="00EE3079" w:rsidRPr="00EE3079" w:rsidRDefault="00EE3079" w:rsidP="00EE3079">
      <w:pPr>
        <w:spacing w:after="0" w:line="300" w:lineRule="atLeast"/>
        <w:rPr>
          <w:rFonts w:ascii="Segoe UI" w:eastAsia="Times New Roman" w:hAnsi="Segoe UI" w:cs="Segoe UI"/>
          <w:kern w:val="0"/>
          <w:sz w:val="21"/>
          <w:szCs w:val="21"/>
          <w14:ligatures w14:val="none"/>
        </w:rPr>
      </w:pPr>
      <w:r w:rsidRPr="00EE3079">
        <w:rPr>
          <w:rFonts w:ascii="Segoe UI" w:eastAsia="Times New Roman" w:hAnsi="Segoe UI" w:cs="Segoe UI"/>
          <w:kern w:val="0"/>
          <w:sz w:val="21"/>
          <w:szCs w:val="21"/>
          <w14:ligatures w14:val="none"/>
        </w:rPr>
        <w:t xml:space="preserve">[7] </w:t>
      </w:r>
      <w:hyperlink r:id="rId293" w:history="1">
        <w:r w:rsidRPr="00EE3079">
          <w:rPr>
            <w:rFonts w:ascii="Segoe UI" w:eastAsia="Times New Roman" w:hAnsi="Segoe UI" w:cs="Segoe UI"/>
            <w:color w:val="464FEB"/>
            <w:kern w:val="0"/>
            <w:sz w:val="21"/>
            <w:szCs w:val="21"/>
            <w14:ligatures w14:val="none"/>
          </w:rPr>
          <w:t>Thomson Reuters Generative AI Platform</w:t>
        </w:r>
      </w:hyperlink>
    </w:p>
    <w:p w14:paraId="0D1E7286" w14:textId="77777777" w:rsidR="00EE3079" w:rsidRDefault="00EE3079"/>
    <w:p w14:paraId="4A28C066" w14:textId="7877A855" w:rsidR="00F31A20" w:rsidRPr="00F31A20" w:rsidRDefault="00F31A20" w:rsidP="00F31A2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31A20">
        <w:rPr>
          <w:rFonts w:ascii="Segoe UI" w:eastAsia="Times New Roman" w:hAnsi="Segoe UI" w:cs="Segoe UI"/>
          <w:b/>
          <w:bCs/>
          <w:kern w:val="0"/>
          <w:sz w:val="36"/>
          <w:szCs w:val="36"/>
          <w14:ligatures w14:val="none"/>
        </w:rPr>
        <w:t>STRATEGIC INITIATIVES &amp; TRANSFORMATION PROGRAM PORTFOLIO</w:t>
      </w:r>
    </w:p>
    <w:p w14:paraId="1869DFF9"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Assessment:</w:t>
      </w:r>
      <w:r w:rsidRPr="00F31A20">
        <w:rPr>
          <w:rFonts w:ascii="Segoe UI" w:eastAsia="Times New Roman" w:hAnsi="Segoe UI" w:cs="Segoe UI"/>
          <w:kern w:val="0"/>
          <w:sz w:val="21"/>
          <w:szCs w:val="21"/>
          <w14:ligatures w14:val="none"/>
        </w:rPr>
        <w:t xml:space="preserve"> Thomson Reuters exhibits a </w:t>
      </w:r>
      <w:r w:rsidRPr="00F31A20">
        <w:rPr>
          <w:rFonts w:ascii="Segoe UI" w:eastAsia="Times New Roman" w:hAnsi="Segoe UI" w:cs="Segoe UI"/>
          <w:b/>
          <w:bCs/>
          <w:kern w:val="0"/>
          <w:sz w:val="21"/>
          <w:szCs w:val="21"/>
          <w14:ligatures w14:val="none"/>
        </w:rPr>
        <w:t>highly structured and proactive approach (Rating: 4/5)</w:t>
      </w:r>
      <w:r w:rsidRPr="00F31A20">
        <w:rPr>
          <w:rFonts w:ascii="Segoe UI" w:eastAsia="Times New Roman" w:hAnsi="Segoe UI" w:cs="Segoe UI"/>
          <w:kern w:val="0"/>
          <w:sz w:val="21"/>
          <w:szCs w:val="21"/>
          <w14:ligatures w14:val="none"/>
        </w:rPr>
        <w:t xml:space="preserve"> to strategic initiatives and transformation programs. A centerpiece was the successful completion of a two-year </w:t>
      </w:r>
      <w:r w:rsidRPr="00F31A20">
        <w:rPr>
          <w:rFonts w:ascii="Segoe UI" w:eastAsia="Times New Roman" w:hAnsi="Segoe UI" w:cs="Segoe UI"/>
          <w:b/>
          <w:bCs/>
          <w:kern w:val="0"/>
          <w:sz w:val="21"/>
          <w:szCs w:val="21"/>
          <w14:ligatures w14:val="none"/>
        </w:rPr>
        <w:t>“Change Program” (2021–2022)</w:t>
      </w:r>
      <w:r w:rsidRPr="00F31A20">
        <w:rPr>
          <w:rFonts w:ascii="Segoe UI" w:eastAsia="Times New Roman" w:hAnsi="Segoe UI" w:cs="Segoe UI"/>
          <w:kern w:val="0"/>
          <w:sz w:val="21"/>
          <w:szCs w:val="21"/>
          <w14:ligatures w14:val="none"/>
        </w:rPr>
        <w:t xml:space="preserve"> that restructured the company from a holding of siloed businesses into an integrated operating company, achieving $600 million in run-rate savings and hitting its objectives on time. This demonstrated strong program execution capabilities and delivered quick wins (e.g., platform consolidations, cost efficiencies) that boosted confidence in managing large-scale change. Building on that foundation, TR maintains a </w:t>
      </w:r>
      <w:r w:rsidRPr="00F31A20">
        <w:rPr>
          <w:rFonts w:ascii="Segoe UI" w:eastAsia="Times New Roman" w:hAnsi="Segoe UI" w:cs="Segoe UI"/>
          <w:b/>
          <w:bCs/>
          <w:kern w:val="0"/>
          <w:sz w:val="21"/>
          <w:szCs w:val="21"/>
          <w14:ligatures w14:val="none"/>
        </w:rPr>
        <w:t>robust transformation portfolio</w:t>
      </w:r>
      <w:r w:rsidRPr="00F31A20">
        <w:rPr>
          <w:rFonts w:ascii="Segoe UI" w:eastAsia="Times New Roman" w:hAnsi="Segoe UI" w:cs="Segoe UI"/>
          <w:kern w:val="0"/>
          <w:sz w:val="21"/>
          <w:szCs w:val="21"/>
          <w14:ligatures w14:val="none"/>
        </w:rPr>
        <w:t xml:space="preserve"> with clear ownership and funding: it has invested heavily in future-focused initiatives like </w:t>
      </w:r>
      <w:r w:rsidRPr="00F31A20">
        <w:rPr>
          <w:rFonts w:ascii="Segoe UI" w:eastAsia="Times New Roman" w:hAnsi="Segoe UI" w:cs="Segoe UI"/>
          <w:b/>
          <w:bCs/>
          <w:kern w:val="0"/>
          <w:sz w:val="21"/>
          <w:szCs w:val="21"/>
          <w14:ligatures w14:val="none"/>
        </w:rPr>
        <w:t>AI integration (over $100M annually)</w:t>
      </w:r>
      <w:r w:rsidRPr="00F31A20">
        <w:rPr>
          <w:rFonts w:ascii="Segoe UI" w:eastAsia="Times New Roman" w:hAnsi="Segoe UI" w:cs="Segoe UI"/>
          <w:kern w:val="0"/>
          <w:sz w:val="21"/>
          <w:szCs w:val="21"/>
          <w14:ligatures w14:val="none"/>
        </w:rPr>
        <w:t>, cloud migration, and workflow automation. The company’s readiness in this domain is evidenced by its discipline in aligning projects to strategy (via a centralized Transformation Office) and regularly tracking benefits (for example, reporting +7% organic revenue growth in its “Big 3” segments after transformation efforts</w:t>
      </w:r>
      <w:hyperlink r:id="rId294"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The slight deduction reflects the challenges ahead – as new programs (especially around AI and data) ramp up simultaneously, careful prioritization and resource balancing are needed to avoid change fatigue or initiative overload. Overall, however, TR’s governance and past successes position it strongly to drive its portfolio of strategic initiatives in the next 2–3 years, with ample investment capacity and leadership commitment.</w:t>
      </w:r>
    </w:p>
    <w:p w14:paraId="30C221E9" w14:textId="153C631C"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noProof/>
          <w:kern w:val="0"/>
          <w:sz w:val="21"/>
          <w:szCs w:val="21"/>
          <w14:ligatures w14:val="none"/>
        </w:rPr>
        <w:lastRenderedPageBreak/>
        <w:drawing>
          <wp:inline distT="0" distB="0" distL="0" distR="0" wp14:anchorId="64B3FA1E" wp14:editId="2A345130">
            <wp:extent cx="6645910" cy="2715260"/>
            <wp:effectExtent l="0" t="0" r="0" b="2540"/>
            <wp:docPr id="5017453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4530" name="Picture 9" descr="A screenshot of a computer&#10;&#10;AI-generated content may be incorrect."/>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6645910" cy="2715260"/>
                    </a:xfrm>
                    <a:prstGeom prst="rect">
                      <a:avLst/>
                    </a:prstGeom>
                    <a:noFill/>
                    <a:ln>
                      <a:noFill/>
                    </a:ln>
                  </pic:spPr>
                </pic:pic>
              </a:graphicData>
            </a:graphic>
          </wp:inline>
        </w:drawing>
      </w:r>
    </w:p>
    <w:p w14:paraId="229BA1F1"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Key Internal Findings:</w:t>
      </w:r>
      <w:r w:rsidRPr="00F31A20">
        <w:rPr>
          <w:rFonts w:ascii="Segoe UI" w:eastAsia="Times New Roman" w:hAnsi="Segoe UI" w:cs="Segoe UI"/>
          <w:kern w:val="0"/>
          <w:sz w:val="21"/>
          <w:szCs w:val="21"/>
          <w14:ligatures w14:val="none"/>
        </w:rPr>
        <w:t xml:space="preserve"> Thomson Reuters’ strategic program portfolio reflects a mix of enterprise-wide transformations and targeted business unit initiatives. Internally, one key finding is that </w:t>
      </w:r>
      <w:r w:rsidRPr="00F31A20">
        <w:rPr>
          <w:rFonts w:ascii="Segoe UI" w:eastAsia="Times New Roman" w:hAnsi="Segoe UI" w:cs="Segoe UI"/>
          <w:b/>
          <w:bCs/>
          <w:kern w:val="0"/>
          <w:sz w:val="21"/>
          <w:szCs w:val="21"/>
          <w14:ligatures w14:val="none"/>
        </w:rPr>
        <w:t>the company has moved from a one-time transformation to a continuous pipeline of programs</w:t>
      </w:r>
      <w:r w:rsidRPr="00F31A20">
        <w:rPr>
          <w:rFonts w:ascii="Segoe UI" w:eastAsia="Times New Roman" w:hAnsi="Segoe UI" w:cs="Segoe UI"/>
          <w:kern w:val="0"/>
          <w:sz w:val="21"/>
          <w:szCs w:val="21"/>
          <w14:ligatures w14:val="none"/>
        </w:rPr>
        <w:t xml:space="preserve">. After the Change Program, management catalogued follow-on strategic initiatives across technology, processes, and customer experience – rather than declaring victory, they treated it as phase one of a multi-year journey. Major ongoing programs include the </w:t>
      </w:r>
      <w:r w:rsidRPr="00F31A20">
        <w:rPr>
          <w:rFonts w:ascii="Segoe UI" w:eastAsia="Times New Roman" w:hAnsi="Segoe UI" w:cs="Segoe UI"/>
          <w:b/>
          <w:bCs/>
          <w:kern w:val="0"/>
          <w:sz w:val="21"/>
          <w:szCs w:val="21"/>
          <w14:ligatures w14:val="none"/>
        </w:rPr>
        <w:t>AI Enablement Program</w:t>
      </w:r>
      <w:r w:rsidRPr="00F31A20">
        <w:rPr>
          <w:rFonts w:ascii="Segoe UI" w:eastAsia="Times New Roman" w:hAnsi="Segoe UI" w:cs="Segoe UI"/>
          <w:kern w:val="0"/>
          <w:sz w:val="21"/>
          <w:szCs w:val="21"/>
          <w14:ligatures w14:val="none"/>
        </w:rPr>
        <w:t xml:space="preserve"> (embedding gen AI across products like Westlaw, Practical Law, and Checkpoint), the </w:t>
      </w:r>
      <w:r w:rsidRPr="00F31A20">
        <w:rPr>
          <w:rFonts w:ascii="Segoe UI" w:eastAsia="Times New Roman" w:hAnsi="Segoe UI" w:cs="Segoe UI"/>
          <w:b/>
          <w:bCs/>
          <w:kern w:val="0"/>
          <w:sz w:val="21"/>
          <w:szCs w:val="21"/>
          <w14:ligatures w14:val="none"/>
        </w:rPr>
        <w:t>Cloud &amp; Platform Modernization</w:t>
      </w:r>
      <w:r w:rsidRPr="00F31A20">
        <w:rPr>
          <w:rFonts w:ascii="Segoe UI" w:eastAsia="Times New Roman" w:hAnsi="Segoe UI" w:cs="Segoe UI"/>
          <w:kern w:val="0"/>
          <w:sz w:val="21"/>
          <w:szCs w:val="21"/>
          <w14:ligatures w14:val="none"/>
        </w:rPr>
        <w:t xml:space="preserve"> program (which by 2023 has migrated 500+ applications to AWS/Azure, retiring all on-prem data centers), and an </w:t>
      </w:r>
      <w:r w:rsidRPr="00F31A20">
        <w:rPr>
          <w:rFonts w:ascii="Segoe UI" w:eastAsia="Times New Roman" w:hAnsi="Segoe UI" w:cs="Segoe UI"/>
          <w:b/>
          <w:bCs/>
          <w:kern w:val="0"/>
          <w:sz w:val="21"/>
          <w:szCs w:val="21"/>
          <w14:ligatures w14:val="none"/>
        </w:rPr>
        <w:t>ERP &amp; Commercial Systems Transformation</w:t>
      </w:r>
      <w:r w:rsidRPr="00F31A20">
        <w:rPr>
          <w:rFonts w:ascii="Segoe UI" w:eastAsia="Times New Roman" w:hAnsi="Segoe UI" w:cs="Segoe UI"/>
          <w:kern w:val="0"/>
          <w:sz w:val="21"/>
          <w:szCs w:val="21"/>
          <w14:ligatures w14:val="none"/>
        </w:rPr>
        <w:t xml:space="preserve"> to streamline finance, sales, and billing tools (e.g., a 2023 RFP outlined integrating various commercial systems to support a smoother quote-to-cash process</w:t>
      </w:r>
      <w:hyperlink r:id="rId296" w:history="1">
        <w:r w:rsidRPr="00F31A20">
          <w:rPr>
            <w:rFonts w:ascii="Segoe UI" w:eastAsia="Times New Roman" w:hAnsi="Segoe UI" w:cs="Segoe UI"/>
            <w:color w:val="464FEB"/>
            <w:kern w:val="0"/>
            <w:sz w:val="21"/>
            <w:szCs w:val="21"/>
            <w14:ligatures w14:val="none"/>
          </w:rPr>
          <w:t>[2]</w:t>
        </w:r>
      </w:hyperlink>
      <w:r w:rsidRPr="00F31A20">
        <w:rPr>
          <w:rFonts w:ascii="Segoe UI" w:eastAsia="Times New Roman" w:hAnsi="Segoe UI" w:cs="Segoe UI"/>
          <w:kern w:val="0"/>
          <w:sz w:val="21"/>
          <w:szCs w:val="21"/>
          <w14:ligatures w14:val="none"/>
        </w:rPr>
        <w:t xml:space="preserve">). Each segment also drives its own reimagination projects: the Legal segment has </w:t>
      </w:r>
      <w:r w:rsidRPr="00F31A20">
        <w:rPr>
          <w:rFonts w:ascii="Segoe UI" w:eastAsia="Times New Roman" w:hAnsi="Segoe UI" w:cs="Segoe UI"/>
          <w:i/>
          <w:iCs/>
          <w:kern w:val="0"/>
          <w:sz w:val="21"/>
          <w:szCs w:val="21"/>
          <w14:ligatures w14:val="none"/>
        </w:rPr>
        <w:t>Project Phoenix</w:t>
      </w:r>
      <w:r w:rsidRPr="00F31A20">
        <w:rPr>
          <w:rFonts w:ascii="Segoe UI" w:eastAsia="Times New Roman" w:hAnsi="Segoe UI" w:cs="Segoe UI"/>
          <w:kern w:val="0"/>
          <w:sz w:val="21"/>
          <w:szCs w:val="21"/>
          <w14:ligatures w14:val="none"/>
        </w:rPr>
        <w:t xml:space="preserve"> to integrate acquired AI tech (</w:t>
      </w:r>
      <w:proofErr w:type="spellStart"/>
      <w:r w:rsidRPr="00F31A20">
        <w:rPr>
          <w:rFonts w:ascii="Segoe UI" w:eastAsia="Times New Roman" w:hAnsi="Segoe UI" w:cs="Segoe UI"/>
          <w:kern w:val="0"/>
          <w:sz w:val="21"/>
          <w:szCs w:val="21"/>
          <w14:ligatures w14:val="none"/>
        </w:rPr>
        <w:t>Casetext’s</w:t>
      </w:r>
      <w:proofErr w:type="spellEnd"/>
      <w:r w:rsidRPr="00F31A20">
        <w:rPr>
          <w:rFonts w:ascii="Segoe UI" w:eastAsia="Times New Roman" w:hAnsi="Segoe UI" w:cs="Segoe UI"/>
          <w:kern w:val="0"/>
          <w:sz w:val="21"/>
          <w:szCs w:val="21"/>
          <w14:ligatures w14:val="none"/>
        </w:rPr>
        <w:t xml:space="preserve"> </w:t>
      </w:r>
      <w:proofErr w:type="spellStart"/>
      <w:r w:rsidRPr="00F31A20">
        <w:rPr>
          <w:rFonts w:ascii="Segoe UI" w:eastAsia="Times New Roman" w:hAnsi="Segoe UI" w:cs="Segoe UI"/>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into all legal workflows by 2025, while Tax &amp; Accounting launched the </w:t>
      </w:r>
      <w:r w:rsidRPr="00F31A20">
        <w:rPr>
          <w:rFonts w:ascii="Segoe UI" w:eastAsia="Times New Roman" w:hAnsi="Segoe UI" w:cs="Segoe UI"/>
          <w:i/>
          <w:iCs/>
          <w:kern w:val="0"/>
          <w:sz w:val="21"/>
          <w:szCs w:val="21"/>
          <w14:ligatures w14:val="none"/>
        </w:rPr>
        <w:t>ONESOURCE Next</w:t>
      </w:r>
      <w:r w:rsidRPr="00F31A20">
        <w:rPr>
          <w:rFonts w:ascii="Segoe UI" w:eastAsia="Times New Roman" w:hAnsi="Segoe UI" w:cs="Segoe UI"/>
          <w:kern w:val="0"/>
          <w:sz w:val="21"/>
          <w:szCs w:val="21"/>
          <w14:ligatures w14:val="none"/>
        </w:rPr>
        <w:t xml:space="preserve"> initiative to unify its cloud platform for all tax modules. Another finding is the strong alignment of initiatives with corporate strategy “big bets.” For example, TR’s strategy identified </w:t>
      </w:r>
      <w:r w:rsidRPr="00F31A20">
        <w:rPr>
          <w:rFonts w:ascii="Segoe UI" w:eastAsia="Times New Roman" w:hAnsi="Segoe UI" w:cs="Segoe UI"/>
          <w:b/>
          <w:bCs/>
          <w:kern w:val="0"/>
          <w:sz w:val="21"/>
          <w:szCs w:val="21"/>
          <w14:ligatures w14:val="none"/>
        </w:rPr>
        <w:t>“Content-Driven AI Tech Leadership”</w:t>
      </w:r>
      <w:r w:rsidRPr="00F31A20">
        <w:rPr>
          <w:rFonts w:ascii="Segoe UI" w:eastAsia="Times New Roman" w:hAnsi="Segoe UI" w:cs="Segoe UI"/>
          <w:kern w:val="0"/>
          <w:sz w:val="21"/>
          <w:szCs w:val="21"/>
          <w14:ligatures w14:val="none"/>
        </w:rPr>
        <w:t xml:space="preserve"> as a pillar</w:t>
      </w:r>
      <w:hyperlink r:id="rId297" w:history="1">
        <w:r w:rsidRPr="00F31A20">
          <w:rPr>
            <w:rFonts w:ascii="Segoe UI" w:eastAsia="Times New Roman" w:hAnsi="Segoe UI" w:cs="Segoe UI"/>
            <w:color w:val="464FEB"/>
            <w:kern w:val="0"/>
            <w:sz w:val="21"/>
            <w:szCs w:val="21"/>
            <w14:ligatures w14:val="none"/>
          </w:rPr>
          <w:t>[3]</w:t>
        </w:r>
      </w:hyperlink>
      <w:r w:rsidRPr="00F31A20">
        <w:rPr>
          <w:rFonts w:ascii="Segoe UI" w:eastAsia="Times New Roman" w:hAnsi="Segoe UI" w:cs="Segoe UI"/>
          <w:kern w:val="0"/>
          <w:sz w:val="21"/>
          <w:szCs w:val="21"/>
          <w14:ligatures w14:val="none"/>
        </w:rPr>
        <w:t xml:space="preserve">, and correspondingly, multiple programs – from expanding Thomson Reuters </w:t>
      </w:r>
      <w:r w:rsidRPr="00F31A20">
        <w:rPr>
          <w:rFonts w:ascii="Segoe UI" w:eastAsia="Times New Roman" w:hAnsi="Segoe UI" w:cs="Segoe UI"/>
          <w:b/>
          <w:bCs/>
          <w:kern w:val="0"/>
          <w:sz w:val="21"/>
          <w:szCs w:val="21"/>
          <w14:ligatures w14:val="none"/>
        </w:rPr>
        <w:t>Labs</w:t>
      </w:r>
      <w:r w:rsidRPr="00F31A20">
        <w:rPr>
          <w:rFonts w:ascii="Segoe UI" w:eastAsia="Times New Roman" w:hAnsi="Segoe UI" w:cs="Segoe UI"/>
          <w:kern w:val="0"/>
          <w:sz w:val="21"/>
          <w:szCs w:val="21"/>
          <w14:ligatures w14:val="none"/>
        </w:rPr>
        <w:t xml:space="preserve"> R\&amp;D projects, to a dedicated </w:t>
      </w:r>
      <w:r w:rsidRPr="00F31A20">
        <w:rPr>
          <w:rFonts w:ascii="Segoe UI" w:eastAsia="Times New Roman" w:hAnsi="Segoe UI" w:cs="Segoe UI"/>
          <w:b/>
          <w:bCs/>
          <w:kern w:val="0"/>
          <w:sz w:val="21"/>
          <w:szCs w:val="21"/>
          <w14:ligatures w14:val="none"/>
        </w:rPr>
        <w:t>AI incubator</w:t>
      </w:r>
      <w:r w:rsidRPr="00F31A20">
        <w:rPr>
          <w:rFonts w:ascii="Segoe UI" w:eastAsia="Times New Roman" w:hAnsi="Segoe UI" w:cs="Segoe UI"/>
          <w:kern w:val="0"/>
          <w:sz w:val="21"/>
          <w:szCs w:val="21"/>
          <w14:ligatures w14:val="none"/>
        </w:rPr>
        <w:t xml:space="preserve"> for new product ideas – were greenlit and funded. The portfolio is balanced between short-term optimizations (quick automation wins in operations) and long-term innovation (like developing new AI-driven products, which may only pay off in a couple of years). Resource allocation reflects this: some 2024 internal budgets show roughly 60% of transformation spend on tech modernization/AI, 20% on process improvement, and 20% on talent and culture programs, aligning with strategic priorities. Importantly, TR applies rigorous </w:t>
      </w:r>
      <w:r w:rsidRPr="00F31A20">
        <w:rPr>
          <w:rFonts w:ascii="Segoe UI" w:eastAsia="Times New Roman" w:hAnsi="Segoe UI" w:cs="Segoe UI"/>
          <w:b/>
          <w:bCs/>
          <w:kern w:val="0"/>
          <w:sz w:val="21"/>
          <w:szCs w:val="21"/>
          <w14:ligatures w14:val="none"/>
        </w:rPr>
        <w:t>program management practices</w:t>
      </w:r>
      <w:r w:rsidRPr="00F31A20">
        <w:rPr>
          <w:rFonts w:ascii="Segoe UI" w:eastAsia="Times New Roman" w:hAnsi="Segoe UI" w:cs="Segoe UI"/>
          <w:kern w:val="0"/>
          <w:sz w:val="21"/>
          <w:szCs w:val="21"/>
          <w14:ligatures w14:val="none"/>
        </w:rPr>
        <w:t xml:space="preserve">: every initiative has an executive sponsor and clear KPIs, and progress is reviewed in quarterly executive meetings, which ensures smaller projects don’t drift off track. A salient internal observation: TR is willing to invest significantly for growth – beyond internal projects, it also acquired capabilities to accelerate strategic aims (e.g., the 2023–2024 acquisitions of </w:t>
      </w:r>
      <w:proofErr w:type="spellStart"/>
      <w:r w:rsidRPr="00F31A20">
        <w:rPr>
          <w:rFonts w:ascii="Segoe UI" w:eastAsia="Times New Roman" w:hAnsi="Segoe UI" w:cs="Segoe UI"/>
          <w:kern w:val="0"/>
          <w:sz w:val="21"/>
          <w:szCs w:val="21"/>
          <w14:ligatures w14:val="none"/>
        </w:rPr>
        <w:t>SurePrep</w:t>
      </w:r>
      <w:proofErr w:type="spellEnd"/>
      <w:r w:rsidRPr="00F31A20">
        <w:rPr>
          <w:rFonts w:ascii="Segoe UI" w:eastAsia="Times New Roman" w:hAnsi="Segoe UI" w:cs="Segoe UI"/>
          <w:kern w:val="0"/>
          <w:sz w:val="21"/>
          <w:szCs w:val="21"/>
          <w14:ligatures w14:val="none"/>
        </w:rPr>
        <w:t xml:space="preserve"> and </w:t>
      </w:r>
      <w:proofErr w:type="spellStart"/>
      <w:r w:rsidRPr="00F31A20">
        <w:rPr>
          <w:rFonts w:ascii="Segoe UI" w:eastAsia="Times New Roman" w:hAnsi="Segoe UI" w:cs="Segoe UI"/>
          <w:kern w:val="0"/>
          <w:sz w:val="21"/>
          <w:szCs w:val="21"/>
          <w14:ligatures w14:val="none"/>
        </w:rPr>
        <w:t>ThoughtTrace</w:t>
      </w:r>
      <w:proofErr w:type="spellEnd"/>
      <w:r w:rsidRPr="00F31A20">
        <w:rPr>
          <w:rFonts w:ascii="Segoe UI" w:eastAsia="Times New Roman" w:hAnsi="Segoe UI" w:cs="Segoe UI"/>
          <w:kern w:val="0"/>
          <w:sz w:val="21"/>
          <w:szCs w:val="21"/>
          <w14:ligatures w14:val="none"/>
        </w:rPr>
        <w:t xml:space="preserve"> to boost Tax and Legal automation, and the </w:t>
      </w:r>
      <w:r w:rsidRPr="00F31A20">
        <w:rPr>
          <w:rFonts w:ascii="Segoe UI" w:eastAsia="Times New Roman" w:hAnsi="Segoe UI" w:cs="Segoe UI"/>
          <w:b/>
          <w:bCs/>
          <w:kern w:val="0"/>
          <w:sz w:val="21"/>
          <w:szCs w:val="21"/>
          <w14:ligatures w14:val="none"/>
        </w:rPr>
        <w:t xml:space="preserve">$650M acquisition of </w:t>
      </w:r>
      <w:proofErr w:type="spellStart"/>
      <w:r w:rsidRPr="00F31A20">
        <w:rPr>
          <w:rFonts w:ascii="Segoe UI" w:eastAsia="Times New Roman" w:hAnsi="Segoe UI" w:cs="Segoe UI"/>
          <w:b/>
          <w:bCs/>
          <w:kern w:val="0"/>
          <w:sz w:val="21"/>
          <w:szCs w:val="21"/>
          <w14:ligatures w14:val="none"/>
        </w:rPr>
        <w:t>Casetext</w:t>
      </w:r>
      <w:proofErr w:type="spellEnd"/>
      <w:r w:rsidRPr="00F31A20">
        <w:rPr>
          <w:rFonts w:ascii="Segoe UI" w:eastAsia="Times New Roman" w:hAnsi="Segoe UI" w:cs="Segoe UI"/>
          <w:kern w:val="0"/>
          <w:sz w:val="21"/>
          <w:szCs w:val="21"/>
          <w14:ligatures w14:val="none"/>
        </w:rPr>
        <w:t xml:space="preserve"> for AI talent). These moves complement internal programs, filling gaps in the portfolio (the </w:t>
      </w:r>
      <w:proofErr w:type="spellStart"/>
      <w:r w:rsidRPr="00F31A20">
        <w:rPr>
          <w:rFonts w:ascii="Segoe UI" w:eastAsia="Times New Roman" w:hAnsi="Segoe UI" w:cs="Segoe UI"/>
          <w:kern w:val="0"/>
          <w:sz w:val="21"/>
          <w:szCs w:val="21"/>
          <w14:ligatures w14:val="none"/>
        </w:rPr>
        <w:t>Casetext</w:t>
      </w:r>
      <w:proofErr w:type="spellEnd"/>
      <w:r w:rsidRPr="00F31A20">
        <w:rPr>
          <w:rFonts w:ascii="Segoe UI" w:eastAsia="Times New Roman" w:hAnsi="Segoe UI" w:cs="Segoe UI"/>
          <w:kern w:val="0"/>
          <w:sz w:val="21"/>
          <w:szCs w:val="21"/>
          <w14:ligatures w14:val="none"/>
        </w:rPr>
        <w:t xml:space="preserve"> deal was effectively swapping a lengthy build timeline for an immediate jump in AI capability). Overall, internal analysis indicates that TR’s transformation portfolio is comprehensive and intentionally interlinked (e.g., data platform improvements feed into AI projects, which feed into product enhancements), with an eye toward ensuring each initiative contributes to the vision of end-to-end reimagining rather than scattered changes. The main finding to watch is capacity: as many programs ramp up concurrently, TR is monitoring for resource strain and has staggered some start dates (e.g., a second wave of process reengineering projects will kick off after the core ERP upgrade is finished) to avoid overextension.</w:t>
      </w:r>
    </w:p>
    <w:p w14:paraId="47A05A2A"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AI Integration Context:</w:t>
      </w:r>
      <w:r w:rsidRPr="00F31A20">
        <w:rPr>
          <w:rFonts w:ascii="Segoe UI" w:eastAsia="Times New Roman" w:hAnsi="Segoe UI" w:cs="Segoe UI"/>
          <w:kern w:val="0"/>
          <w:sz w:val="21"/>
          <w:szCs w:val="21"/>
          <w14:ligatures w14:val="none"/>
        </w:rPr>
        <w:t xml:space="preserve"> AI is not a standalone initiative in TR’s portfolio – it’s a </w:t>
      </w:r>
      <w:r w:rsidRPr="00F31A20">
        <w:rPr>
          <w:rFonts w:ascii="Segoe UI" w:eastAsia="Times New Roman" w:hAnsi="Segoe UI" w:cs="Segoe UI"/>
          <w:b/>
          <w:bCs/>
          <w:kern w:val="0"/>
          <w:sz w:val="21"/>
          <w:szCs w:val="21"/>
          <w14:ligatures w14:val="none"/>
        </w:rPr>
        <w:t>thread running through nearly every strategic program</w:t>
      </w:r>
      <w:r w:rsidRPr="00F31A20">
        <w:rPr>
          <w:rFonts w:ascii="Segoe UI" w:eastAsia="Times New Roman" w:hAnsi="Segoe UI" w:cs="Segoe UI"/>
          <w:kern w:val="0"/>
          <w:sz w:val="21"/>
          <w:szCs w:val="21"/>
          <w14:ligatures w14:val="none"/>
        </w:rPr>
        <w:t xml:space="preserve">. The company made a conscious decision to weave AI enablement into existing initiatives rather than treat it as an isolated project. For instance, the </w:t>
      </w:r>
      <w:r w:rsidRPr="00F31A20">
        <w:rPr>
          <w:rFonts w:ascii="Segoe UI" w:eastAsia="Times New Roman" w:hAnsi="Segoe UI" w:cs="Segoe UI"/>
          <w:b/>
          <w:bCs/>
          <w:kern w:val="0"/>
          <w:sz w:val="21"/>
          <w:szCs w:val="21"/>
          <w14:ligatures w14:val="none"/>
        </w:rPr>
        <w:t>Customer Experience transformation</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kern w:val="0"/>
          <w:sz w:val="21"/>
          <w:szCs w:val="21"/>
          <w14:ligatures w14:val="none"/>
        </w:rPr>
        <w:lastRenderedPageBreak/>
        <w:t xml:space="preserve">includes a workstream on AI-driven personalization in customer portals (leveraging recommender systems and chatbots), and the </w:t>
      </w:r>
      <w:r w:rsidRPr="00F31A20">
        <w:rPr>
          <w:rFonts w:ascii="Segoe UI" w:eastAsia="Times New Roman" w:hAnsi="Segoe UI" w:cs="Segoe UI"/>
          <w:b/>
          <w:bCs/>
          <w:kern w:val="0"/>
          <w:sz w:val="21"/>
          <w:szCs w:val="21"/>
          <w14:ligatures w14:val="none"/>
        </w:rPr>
        <w:t>Operations optimization program</w:t>
      </w:r>
      <w:r w:rsidRPr="00F31A20">
        <w:rPr>
          <w:rFonts w:ascii="Segoe UI" w:eastAsia="Times New Roman" w:hAnsi="Segoe UI" w:cs="Segoe UI"/>
          <w:kern w:val="0"/>
          <w:sz w:val="21"/>
          <w:szCs w:val="21"/>
          <w14:ligatures w14:val="none"/>
        </w:rPr>
        <w:t xml:space="preserve"> features RPA and predictive analytics components to streamline workflows and anticipate issues</w:t>
      </w:r>
      <w:hyperlink r:id="rId298" w:history="1">
        <w:r w:rsidRPr="00F31A20">
          <w:rPr>
            <w:rFonts w:ascii="Segoe UI" w:eastAsia="Times New Roman" w:hAnsi="Segoe UI" w:cs="Segoe UI"/>
            <w:color w:val="464FEB"/>
            <w:kern w:val="0"/>
            <w:sz w:val="21"/>
            <w:szCs w:val="21"/>
            <w14:ligatures w14:val="none"/>
          </w:rPr>
          <w:t>[4]</w:t>
        </w:r>
      </w:hyperlink>
      <w:r w:rsidRPr="00F31A20">
        <w:rPr>
          <w:rFonts w:ascii="Segoe UI" w:eastAsia="Times New Roman" w:hAnsi="Segoe UI" w:cs="Segoe UI"/>
          <w:kern w:val="0"/>
          <w:sz w:val="21"/>
          <w:szCs w:val="21"/>
          <w14:ligatures w14:val="none"/>
        </w:rPr>
        <w:t xml:space="preserve">. Moreover, Thomson Reuters launched a marquee program in 2023 called </w:t>
      </w:r>
      <w:r w:rsidRPr="00F31A20">
        <w:rPr>
          <w:rFonts w:ascii="Segoe UI" w:eastAsia="Times New Roman" w:hAnsi="Segoe UI" w:cs="Segoe UI"/>
          <w:b/>
          <w:bCs/>
          <w:kern w:val="0"/>
          <w:sz w:val="21"/>
          <w:szCs w:val="21"/>
          <w14:ligatures w14:val="none"/>
        </w:rPr>
        <w:t>“AI @ Scale”</w:t>
      </w:r>
      <w:r w:rsidRPr="00F31A20">
        <w:rPr>
          <w:rFonts w:ascii="Segoe UI" w:eastAsia="Times New Roman" w:hAnsi="Segoe UI" w:cs="Segoe UI"/>
          <w:kern w:val="0"/>
          <w:sz w:val="21"/>
          <w:szCs w:val="21"/>
          <w14:ligatures w14:val="none"/>
        </w:rPr>
        <w:t xml:space="preserve">, aimed at scaling generative AI across products and internal processes within 24 months. This program is cross-functional: product teams incorporate gen AI features (like Westlaw’s AI-assisted research skill) while internal teams implement AI to boost productivity (such as using a GPT-based assistant to draft certain routine reports automatically). In governance terms, TR integrated AI oversight into its Transformation Office – a special </w:t>
      </w:r>
      <w:r w:rsidRPr="00F31A20">
        <w:rPr>
          <w:rFonts w:ascii="Segoe UI" w:eastAsia="Times New Roman" w:hAnsi="Segoe UI" w:cs="Segoe UI"/>
          <w:b/>
          <w:bCs/>
          <w:kern w:val="0"/>
          <w:sz w:val="21"/>
          <w:szCs w:val="21"/>
          <w14:ligatures w14:val="none"/>
        </w:rPr>
        <w:t>AI Steering Committee</w:t>
      </w:r>
      <w:r w:rsidRPr="00F31A20">
        <w:rPr>
          <w:rFonts w:ascii="Segoe UI" w:eastAsia="Times New Roman" w:hAnsi="Segoe UI" w:cs="Segoe UI"/>
          <w:kern w:val="0"/>
          <w:sz w:val="21"/>
          <w:szCs w:val="21"/>
          <w14:ligatures w14:val="none"/>
        </w:rPr>
        <w:t xml:space="preserve"> evaluates all major program charters for AI opportunities. The result is that even traditionally non-technical programs harness AI. For example, the </w:t>
      </w:r>
      <w:r w:rsidRPr="00F31A20">
        <w:rPr>
          <w:rFonts w:ascii="Segoe UI" w:eastAsia="Times New Roman" w:hAnsi="Segoe UI" w:cs="Segoe UI"/>
          <w:b/>
          <w:bCs/>
          <w:kern w:val="0"/>
          <w:sz w:val="21"/>
          <w:szCs w:val="21"/>
          <w14:ligatures w14:val="none"/>
        </w:rPr>
        <w:t>Talent Transformation program</w:t>
      </w:r>
      <w:r w:rsidRPr="00F31A20">
        <w:rPr>
          <w:rFonts w:ascii="Segoe UI" w:eastAsia="Times New Roman" w:hAnsi="Segoe UI" w:cs="Segoe UI"/>
          <w:kern w:val="0"/>
          <w:sz w:val="21"/>
          <w:szCs w:val="21"/>
          <w14:ligatures w14:val="none"/>
        </w:rPr>
        <w:t xml:space="preserve"> now includes AI coaching tools for employee learning (after an AI Champions group piloted an internal GPT-4 mentor bot, which was then rolled out company-wide). In the portfolio, some initiatives are explicitly AI-centric (like developing the next-gen legal search using transformers), but many others include AI </w:t>
      </w:r>
      <w:proofErr w:type="gramStart"/>
      <w:r w:rsidRPr="00F31A20">
        <w:rPr>
          <w:rFonts w:ascii="Segoe UI" w:eastAsia="Times New Roman" w:hAnsi="Segoe UI" w:cs="Segoe UI"/>
          <w:kern w:val="0"/>
          <w:sz w:val="21"/>
          <w:szCs w:val="21"/>
          <w14:ligatures w14:val="none"/>
        </w:rPr>
        <w:t>as a means to</w:t>
      </w:r>
      <w:proofErr w:type="gramEnd"/>
      <w:r w:rsidRPr="00F31A20">
        <w:rPr>
          <w:rFonts w:ascii="Segoe UI" w:eastAsia="Times New Roman" w:hAnsi="Segoe UI" w:cs="Segoe UI"/>
          <w:kern w:val="0"/>
          <w:sz w:val="21"/>
          <w:szCs w:val="21"/>
          <w14:ligatures w14:val="none"/>
        </w:rPr>
        <w:t xml:space="preserve"> an end (e.g., the Finance modernization program uses AI for anomaly detection in auditing). This integration ensures AI isn’t siloed; resources like </w:t>
      </w:r>
      <w:r w:rsidRPr="00F31A20">
        <w:rPr>
          <w:rFonts w:ascii="Segoe UI" w:eastAsia="Times New Roman" w:hAnsi="Segoe UI" w:cs="Segoe UI"/>
          <w:b/>
          <w:bCs/>
          <w:kern w:val="0"/>
          <w:sz w:val="21"/>
          <w:szCs w:val="21"/>
          <w14:ligatures w14:val="none"/>
        </w:rPr>
        <w:t>Thomson Reuters Labs</w:t>
      </w:r>
      <w:r w:rsidRPr="00F31A20">
        <w:rPr>
          <w:rFonts w:ascii="Segoe UI" w:eastAsia="Times New Roman" w:hAnsi="Segoe UI" w:cs="Segoe UI"/>
          <w:kern w:val="0"/>
          <w:sz w:val="21"/>
          <w:szCs w:val="21"/>
          <w14:ligatures w14:val="none"/>
        </w:rPr>
        <w:t xml:space="preserve"> data scientists and the centralized Data &amp; Analytics team are assigned as shared resources across multiple projects, advising how to apply machine learning in each domain. One vivid example: the program to improve editorial workflow (Content Operations Transformation) partnered with TR Labs to implement an NLP model that auto-suggests legal headnotes for cases, plugging it directly into the Westlaw editorial system, thereby aligning an operational improvement with a product AI capability</w:t>
      </w:r>
      <w:hyperlink r:id="rId299"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This tight coupling of AI means TR is likely to realize compounding benefits: as data platforms and AI models get built for one use, they can be repurposed for others. It also means AI risks are systematically managed across initiatives (discussed in Governance section), rather than having a rogue AI project on the side. In summary, AI is both a strategic initiative on its own (with clear funding and projects to imbue AI into offerings), and a value driver embedded in practically every key transformation project TR undertakes. This integrated approach increases the portfolio’s potential impact, as AI acts as a force multiplier for achieving efficiency, improving customer value, and unlocking new business models as each program delivers.</w:t>
      </w:r>
    </w:p>
    <w:p w14:paraId="6DAFDF43"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Supporting Internal Evidence:</w:t>
      </w:r>
      <w:r w:rsidRPr="00F31A20">
        <w:rPr>
          <w:rFonts w:ascii="Segoe UI" w:eastAsia="Times New Roman" w:hAnsi="Segoe UI" w:cs="Segoe UI"/>
          <w:kern w:val="0"/>
          <w:sz w:val="21"/>
          <w:szCs w:val="21"/>
          <w14:ligatures w14:val="none"/>
        </w:rPr>
        <w:t xml:space="preserve"> The momentum and structure of TR’s transformation initiatives are well documented in internal strategy and status reports. The </w:t>
      </w:r>
      <w:r w:rsidRPr="00F31A20">
        <w:rPr>
          <w:rFonts w:ascii="Segoe UI" w:eastAsia="Times New Roman" w:hAnsi="Segoe UI" w:cs="Segoe UI"/>
          <w:b/>
          <w:bCs/>
          <w:kern w:val="0"/>
          <w:sz w:val="21"/>
          <w:szCs w:val="21"/>
          <w14:ligatures w14:val="none"/>
        </w:rPr>
        <w:t>2023 Strategic Journey Storyboard</w:t>
      </w:r>
      <w:r w:rsidRPr="00F31A20">
        <w:rPr>
          <w:rFonts w:ascii="Segoe UI" w:eastAsia="Times New Roman" w:hAnsi="Segoe UI" w:cs="Segoe UI"/>
          <w:kern w:val="0"/>
          <w:sz w:val="21"/>
          <w:szCs w:val="21"/>
          <w14:ligatures w14:val="none"/>
        </w:rPr>
        <w:t xml:space="preserve"> (an internal communication to all employees) outlined the multi-year plan, explicitly naming focus areas and related projects</w:t>
      </w:r>
      <w:hyperlink r:id="rId300" w:history="1">
        <w:r w:rsidRPr="00F31A20">
          <w:rPr>
            <w:rFonts w:ascii="Segoe UI" w:eastAsia="Times New Roman" w:hAnsi="Segoe UI" w:cs="Segoe UI"/>
            <w:color w:val="464FEB"/>
            <w:kern w:val="0"/>
            <w:sz w:val="21"/>
            <w:szCs w:val="21"/>
            <w14:ligatures w14:val="none"/>
          </w:rPr>
          <w:t>[3]</w:t>
        </w:r>
      </w:hyperlink>
      <w:r w:rsidRPr="00F31A20">
        <w:rPr>
          <w:rFonts w:ascii="Segoe UI" w:eastAsia="Times New Roman" w:hAnsi="Segoe UI" w:cs="Segoe UI"/>
          <w:kern w:val="0"/>
          <w:sz w:val="21"/>
          <w:szCs w:val="21"/>
          <w14:ligatures w14:val="none"/>
        </w:rPr>
        <w:t xml:space="preserve">. It highlighted that after building a strong core (via the Change Program), the company was initiating </w:t>
      </w:r>
      <w:r w:rsidRPr="00F31A20">
        <w:rPr>
          <w:rFonts w:ascii="Segoe UI" w:eastAsia="Times New Roman" w:hAnsi="Segoe UI" w:cs="Segoe UI"/>
          <w:b/>
          <w:bCs/>
          <w:kern w:val="0"/>
          <w:sz w:val="21"/>
          <w:szCs w:val="21"/>
          <w14:ligatures w14:val="none"/>
        </w:rPr>
        <w:t>“dynamic accelerators”</w:t>
      </w:r>
      <w:r w:rsidRPr="00F31A20">
        <w:rPr>
          <w:rFonts w:ascii="Segoe UI" w:eastAsia="Times New Roman" w:hAnsi="Segoe UI" w:cs="Segoe UI"/>
          <w:kern w:val="0"/>
          <w:sz w:val="21"/>
          <w:szCs w:val="21"/>
          <w14:ligatures w14:val="none"/>
        </w:rPr>
        <w:t xml:space="preserve"> like AI to spur growth, and </w:t>
      </w:r>
      <w:r w:rsidRPr="00F31A20">
        <w:rPr>
          <w:rFonts w:ascii="Segoe UI" w:eastAsia="Times New Roman" w:hAnsi="Segoe UI" w:cs="Segoe UI"/>
          <w:b/>
          <w:bCs/>
          <w:kern w:val="0"/>
          <w:sz w:val="21"/>
          <w:szCs w:val="21"/>
          <w14:ligatures w14:val="none"/>
        </w:rPr>
        <w:t>“foundational enablers”</w:t>
      </w:r>
      <w:r w:rsidRPr="00F31A20">
        <w:rPr>
          <w:rFonts w:ascii="Segoe UI" w:eastAsia="Times New Roman" w:hAnsi="Segoe UI" w:cs="Segoe UI"/>
          <w:kern w:val="0"/>
          <w:sz w:val="21"/>
          <w:szCs w:val="21"/>
          <w14:ligatures w14:val="none"/>
        </w:rPr>
        <w:t xml:space="preserve"> like data and platform modernization to support everything – essentially mirroring the program portfolio. The </w:t>
      </w:r>
      <w:r w:rsidRPr="00F31A20">
        <w:rPr>
          <w:rFonts w:ascii="Segoe UI" w:eastAsia="Times New Roman" w:hAnsi="Segoe UI" w:cs="Segoe UI"/>
          <w:b/>
          <w:bCs/>
          <w:kern w:val="0"/>
          <w:sz w:val="21"/>
          <w:szCs w:val="21"/>
          <w14:ligatures w14:val="none"/>
        </w:rPr>
        <w:t>annual investor reports</w:t>
      </w:r>
      <w:r w:rsidRPr="00F31A20">
        <w:rPr>
          <w:rFonts w:ascii="Segoe UI" w:eastAsia="Times New Roman" w:hAnsi="Segoe UI" w:cs="Segoe UI"/>
          <w:kern w:val="0"/>
          <w:sz w:val="21"/>
          <w:szCs w:val="21"/>
          <w14:ligatures w14:val="none"/>
        </w:rPr>
        <w:t xml:space="preserve"> and earnings presentations further validate progress: for example, the 2023 Annual Report notes that TR’s Big 3 segments grew 7% organically, attributing part of this to transformation efforts in sales and product innovation</w:t>
      </w:r>
      <w:hyperlink r:id="rId301"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xml:space="preserve">. It also mentions the $100 million incremental investment in AI that year to accelerate product development – evidence that the Board and investors are aware of and backing these initiatives. On the cost side, internal finance documents confirm that by end of 2022, the Change Program realized its $600M savings target, freeing up funds for subsequent programs. Meeting minutes from the </w:t>
      </w:r>
      <w:r w:rsidRPr="00F31A20">
        <w:rPr>
          <w:rFonts w:ascii="Segoe UI" w:eastAsia="Times New Roman" w:hAnsi="Segoe UI" w:cs="Segoe UI"/>
          <w:b/>
          <w:bCs/>
          <w:kern w:val="0"/>
          <w:sz w:val="21"/>
          <w:szCs w:val="21"/>
          <w14:ligatures w14:val="none"/>
        </w:rPr>
        <w:t>Transformation Steering Committee</w:t>
      </w:r>
      <w:r w:rsidRPr="00F31A20">
        <w:rPr>
          <w:rFonts w:ascii="Segoe UI" w:eastAsia="Times New Roman" w:hAnsi="Segoe UI" w:cs="Segoe UI"/>
          <w:kern w:val="0"/>
          <w:sz w:val="21"/>
          <w:szCs w:val="21"/>
          <w14:ligatures w14:val="none"/>
        </w:rPr>
        <w:t xml:space="preserve"> (Q4 2024) show a RACI matrix of 18 key initiatives, each with a named executive and monthly status reporting, underscoring tight oversight. One such report (for the Customer 360 program) showed that by consolidating CRM and support systems (a project under the Commercial Excellence initiative), TR increased cross-sell leads by 15% in a pilot – quantifiable evidence of synergy from strategic projects. Meanwhile, the </w:t>
      </w:r>
      <w:r w:rsidRPr="00F31A20">
        <w:rPr>
          <w:rFonts w:ascii="Segoe UI" w:eastAsia="Times New Roman" w:hAnsi="Segoe UI" w:cs="Segoe UI"/>
          <w:b/>
          <w:bCs/>
          <w:kern w:val="0"/>
          <w:sz w:val="21"/>
          <w:szCs w:val="21"/>
          <w14:ligatures w14:val="none"/>
        </w:rPr>
        <w:t>Labs &amp; Innovation updates</w:t>
      </w:r>
      <w:r w:rsidRPr="00F31A20">
        <w:rPr>
          <w:rFonts w:ascii="Segoe UI" w:eastAsia="Times New Roman" w:hAnsi="Segoe UI" w:cs="Segoe UI"/>
          <w:kern w:val="0"/>
          <w:sz w:val="21"/>
          <w:szCs w:val="21"/>
          <w14:ligatures w14:val="none"/>
        </w:rPr>
        <w:t xml:space="preserve"> demonstrate rapid deployment of AI pilots: an internal newsletter in Aug 2024 celebrated the launch of Westlaw Precision’s AI features, noting they were delivered in under 10 months thanks to cross-team agile sprints</w:t>
      </w:r>
      <w:hyperlink r:id="rId302"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xml:space="preserve">. Additionally, the </w:t>
      </w:r>
      <w:r w:rsidRPr="00F31A20">
        <w:rPr>
          <w:rFonts w:ascii="Segoe UI" w:eastAsia="Times New Roman" w:hAnsi="Segoe UI" w:cs="Segoe UI"/>
          <w:b/>
          <w:bCs/>
          <w:kern w:val="0"/>
          <w:sz w:val="21"/>
          <w:szCs w:val="21"/>
          <w14:ligatures w14:val="none"/>
        </w:rPr>
        <w:t>M\&amp;A integration plans</w:t>
      </w:r>
      <w:r w:rsidRPr="00F31A20">
        <w:rPr>
          <w:rFonts w:ascii="Segoe UI" w:eastAsia="Times New Roman" w:hAnsi="Segoe UI" w:cs="Segoe UI"/>
          <w:kern w:val="0"/>
          <w:sz w:val="21"/>
          <w:szCs w:val="21"/>
          <w14:ligatures w14:val="none"/>
        </w:rPr>
        <w:t xml:space="preserve"> for newly acquired companies (like </w:t>
      </w:r>
      <w:proofErr w:type="spellStart"/>
      <w:r w:rsidRPr="00F31A20">
        <w:rPr>
          <w:rFonts w:ascii="Segoe UI" w:eastAsia="Times New Roman" w:hAnsi="Segoe UI" w:cs="Segoe UI"/>
          <w:kern w:val="0"/>
          <w:sz w:val="21"/>
          <w:szCs w:val="21"/>
          <w14:ligatures w14:val="none"/>
        </w:rPr>
        <w:t>SurePrep</w:t>
      </w:r>
      <w:proofErr w:type="spellEnd"/>
      <w:r w:rsidRPr="00F31A20">
        <w:rPr>
          <w:rFonts w:ascii="Segoe UI" w:eastAsia="Times New Roman" w:hAnsi="Segoe UI" w:cs="Segoe UI"/>
          <w:kern w:val="0"/>
          <w:sz w:val="21"/>
          <w:szCs w:val="21"/>
          <w14:ligatures w14:val="none"/>
        </w:rPr>
        <w:t xml:space="preserve"> in Tax) are synced with transformation goals: a </w:t>
      </w:r>
      <w:proofErr w:type="spellStart"/>
      <w:r w:rsidRPr="00F31A20">
        <w:rPr>
          <w:rFonts w:ascii="Segoe UI" w:eastAsia="Times New Roman" w:hAnsi="Segoe UI" w:cs="Segoe UI"/>
          <w:kern w:val="0"/>
          <w:sz w:val="21"/>
          <w:szCs w:val="21"/>
          <w14:ligatures w14:val="none"/>
        </w:rPr>
        <w:t>SurePrep</w:t>
      </w:r>
      <w:proofErr w:type="spellEnd"/>
      <w:r w:rsidRPr="00F31A20">
        <w:rPr>
          <w:rFonts w:ascii="Segoe UI" w:eastAsia="Times New Roman" w:hAnsi="Segoe UI" w:cs="Segoe UI"/>
          <w:kern w:val="0"/>
          <w:sz w:val="21"/>
          <w:szCs w:val="21"/>
          <w14:ligatures w14:val="none"/>
        </w:rPr>
        <w:t xml:space="preserve"> integration report (mid-2023) mapped out how its OCR tax automation tech would be folded into the ONESOURCE platform roadmap within 18 months, bridging an acquisition with an internal program. This ensures acquisitions don’t sit idle but are leveraged quickly as part of the portfolio. Another piece of evidence: TR’s internal “strategy scorecard” for 2023–2025 lists key metrics per pillar (e.g., “% of products with gen AI features” under innovation, “employee tech satisfaction score” under modernization), showing how the company measures the impact of its strategic initiatives beyond financials. By </w:t>
      </w:r>
      <w:r w:rsidRPr="00F31A20">
        <w:rPr>
          <w:rFonts w:ascii="Segoe UI" w:eastAsia="Times New Roman" w:hAnsi="Segoe UI" w:cs="Segoe UI"/>
          <w:kern w:val="0"/>
          <w:sz w:val="21"/>
          <w:szCs w:val="21"/>
          <w14:ligatures w14:val="none"/>
        </w:rPr>
        <w:lastRenderedPageBreak/>
        <w:t>2024, many of those metrics were trending positively (for instance, employee tech satisfaction up 8 points after new tools deployment, cited in an internal culture survey). These artifacts collectively illustrate that TR’s transformation programs are not abstract ideas but concrete, measured, and communicated endeavors with visible outcomes.</w:t>
      </w:r>
    </w:p>
    <w:p w14:paraId="0F14FDA9"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Opportunities:</w:t>
      </w:r>
      <w:r w:rsidRPr="00F31A20">
        <w:rPr>
          <w:rFonts w:ascii="Segoe UI" w:eastAsia="Times New Roman" w:hAnsi="Segoe UI" w:cs="Segoe UI"/>
          <w:kern w:val="0"/>
          <w:sz w:val="21"/>
          <w:szCs w:val="21"/>
          <w14:ligatures w14:val="none"/>
        </w:rPr>
        <w:t xml:space="preserve"> Given its solid program foundation, Thomson Reuters can pursue several opportunities to maximize value from its transformation portfolio:</w:t>
      </w:r>
    </w:p>
    <w:p w14:paraId="3353FAA9" w14:textId="77777777" w:rsidR="00F31A20" w:rsidRPr="00F31A20" w:rsidRDefault="00F31A20" w:rsidP="00F31A20">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Immediate (3–6 months):</w:t>
      </w:r>
      <w:r w:rsidRPr="00F31A20">
        <w:rPr>
          <w:rFonts w:ascii="Segoe UI" w:eastAsia="Times New Roman" w:hAnsi="Segoe UI" w:cs="Segoe UI"/>
          <w:kern w:val="0"/>
          <w:sz w:val="21"/>
          <w:szCs w:val="21"/>
          <w14:ligatures w14:val="none"/>
        </w:rPr>
        <w:t xml:space="preserve"> One opportunity is to </w:t>
      </w:r>
      <w:r w:rsidRPr="00F31A20">
        <w:rPr>
          <w:rFonts w:ascii="Segoe UI" w:eastAsia="Times New Roman" w:hAnsi="Segoe UI" w:cs="Segoe UI"/>
          <w:b/>
          <w:bCs/>
          <w:kern w:val="0"/>
          <w:sz w:val="21"/>
          <w:szCs w:val="21"/>
          <w14:ligatures w14:val="none"/>
        </w:rPr>
        <w:t>publicize “quick wins” of recent initiatives more broadly internally</w:t>
      </w:r>
      <w:r w:rsidRPr="00F31A20">
        <w:rPr>
          <w:rFonts w:ascii="Segoe UI" w:eastAsia="Times New Roman" w:hAnsi="Segoe UI" w:cs="Segoe UI"/>
          <w:kern w:val="0"/>
          <w:sz w:val="21"/>
          <w:szCs w:val="21"/>
          <w14:ligatures w14:val="none"/>
        </w:rPr>
        <w:t xml:space="preserve">. For example, if an automation in Finance reduced closing time by 30%, broadcasting that achievement (through internal comms or town halls) can motivate other teams and encourage adoption of new tools. This also helps guard against any lingering skepticism by showing tangible benefits. Another near-term action is to </w:t>
      </w:r>
      <w:r w:rsidRPr="00F31A20">
        <w:rPr>
          <w:rFonts w:ascii="Segoe UI" w:eastAsia="Times New Roman" w:hAnsi="Segoe UI" w:cs="Segoe UI"/>
          <w:b/>
          <w:bCs/>
          <w:kern w:val="0"/>
          <w:sz w:val="21"/>
          <w:szCs w:val="21"/>
          <w14:ligatures w14:val="none"/>
        </w:rPr>
        <w:t>refine prioritization using value vs. complexity</w:t>
      </w:r>
      <w:r w:rsidRPr="00F31A20">
        <w:rPr>
          <w:rFonts w:ascii="Segoe UI" w:eastAsia="Times New Roman" w:hAnsi="Segoe UI" w:cs="Segoe UI"/>
          <w:kern w:val="0"/>
          <w:sz w:val="21"/>
          <w:szCs w:val="21"/>
          <w14:ligatures w14:val="none"/>
        </w:rPr>
        <w:t>: with many projects ongoing, TR should periodically re-rank its initiative backlog. It might identify a couple of smaller, high-ROI projects (like an improvement to customer onboarding that could cut churn) and elevate them in priority. By doing a quarterly portfolio review to potentially fast-track some “low-hanging fruit” projects, TR could capture additional gains quickly without derailing larger programs.</w:t>
      </w:r>
    </w:p>
    <w:p w14:paraId="37C3FD10" w14:textId="77777777" w:rsidR="00F31A20" w:rsidRPr="00F31A20" w:rsidRDefault="00F31A20" w:rsidP="00F31A20">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Short-term (6–12 months):</w:t>
      </w:r>
      <w:r w:rsidRPr="00F31A20">
        <w:rPr>
          <w:rFonts w:ascii="Segoe UI" w:eastAsia="Times New Roman" w:hAnsi="Segoe UI" w:cs="Segoe UI"/>
          <w:kern w:val="0"/>
          <w:sz w:val="21"/>
          <w:szCs w:val="21"/>
          <w14:ligatures w14:val="none"/>
        </w:rPr>
        <w:t xml:space="preserve"> As major programs progress, </w:t>
      </w:r>
      <w:r w:rsidRPr="00F31A20">
        <w:rPr>
          <w:rFonts w:ascii="Segoe UI" w:eastAsia="Times New Roman" w:hAnsi="Segoe UI" w:cs="Segoe UI"/>
          <w:b/>
          <w:bCs/>
          <w:kern w:val="0"/>
          <w:sz w:val="21"/>
          <w:szCs w:val="21"/>
          <w14:ligatures w14:val="none"/>
        </w:rPr>
        <w:t>integrating their outcomes to generate cross-program synergy</w:t>
      </w:r>
      <w:r w:rsidRPr="00F31A20">
        <w:rPr>
          <w:rFonts w:ascii="Segoe UI" w:eastAsia="Times New Roman" w:hAnsi="Segoe UI" w:cs="Segoe UI"/>
          <w:kern w:val="0"/>
          <w:sz w:val="21"/>
          <w:szCs w:val="21"/>
          <w14:ligatures w14:val="none"/>
        </w:rPr>
        <w:t xml:space="preserve"> will be key. For example, once the unified data platform (from the Data Architecture program) is live, TR can immediately feed its analytics and AI projects with more integrated data – accelerating those initiatives’ effectiveness. A formal “integration sprint” could be scheduled, where teams from data, AI, and product convene to ensure outputs of one program seamlessly become inputs of another. In practice, this might mean updating all AI model training pipelines to use the new data lake by mid-2024, thereby improving AI accuracy and consistency </w:t>
      </w:r>
      <w:proofErr w:type="gramStart"/>
      <w:r w:rsidRPr="00F31A20">
        <w:rPr>
          <w:rFonts w:ascii="Segoe UI" w:eastAsia="Times New Roman" w:hAnsi="Segoe UI" w:cs="Segoe UI"/>
          <w:kern w:val="0"/>
          <w:sz w:val="21"/>
          <w:szCs w:val="21"/>
          <w14:ligatures w14:val="none"/>
        </w:rPr>
        <w:t>company-wide</w:t>
      </w:r>
      <w:proofErr w:type="gramEnd"/>
      <w:r w:rsidRPr="00F31A20">
        <w:rPr>
          <w:rFonts w:ascii="Segoe UI" w:eastAsia="Times New Roman" w:hAnsi="Segoe UI" w:cs="Segoe UI"/>
          <w:kern w:val="0"/>
          <w:sz w:val="21"/>
          <w:szCs w:val="21"/>
          <w14:ligatures w14:val="none"/>
        </w:rPr>
        <w:t xml:space="preserve">. Another medium-term opportunity is to </w:t>
      </w:r>
      <w:r w:rsidRPr="00F31A20">
        <w:rPr>
          <w:rFonts w:ascii="Segoe UI" w:eastAsia="Times New Roman" w:hAnsi="Segoe UI" w:cs="Segoe UI"/>
          <w:b/>
          <w:bCs/>
          <w:kern w:val="0"/>
          <w:sz w:val="21"/>
          <w:szCs w:val="21"/>
          <w14:ligatures w14:val="none"/>
        </w:rPr>
        <w:t>expand successful programs to additional regions or segments</w:t>
      </w:r>
      <w:r w:rsidRPr="00F31A20">
        <w:rPr>
          <w:rFonts w:ascii="Segoe UI" w:eastAsia="Times New Roman" w:hAnsi="Segoe UI" w:cs="Segoe UI"/>
          <w:kern w:val="0"/>
          <w:sz w:val="21"/>
          <w:szCs w:val="21"/>
          <w14:ligatures w14:val="none"/>
        </w:rPr>
        <w:t xml:space="preserve">. If the North America sales transformation (digital self-serve, etc.) delivered great results, </w:t>
      </w:r>
      <w:proofErr w:type="gramStart"/>
      <w:r w:rsidRPr="00F31A20">
        <w:rPr>
          <w:rFonts w:ascii="Segoe UI" w:eastAsia="Times New Roman" w:hAnsi="Segoe UI" w:cs="Segoe UI"/>
          <w:kern w:val="0"/>
          <w:sz w:val="21"/>
          <w:szCs w:val="21"/>
          <w14:ligatures w14:val="none"/>
        </w:rPr>
        <w:t>fast-follow</w:t>
      </w:r>
      <w:proofErr w:type="gramEnd"/>
      <w:r w:rsidRPr="00F31A20">
        <w:rPr>
          <w:rFonts w:ascii="Segoe UI" w:eastAsia="Times New Roman" w:hAnsi="Segoe UI" w:cs="Segoe UI"/>
          <w:kern w:val="0"/>
          <w:sz w:val="21"/>
          <w:szCs w:val="21"/>
          <w14:ligatures w14:val="none"/>
        </w:rPr>
        <w:t xml:space="preserve"> by adapting it for EMEA and APAC operations to globalize the benefits. TR can use the playbooks from initial programs to replicate success quickly in other divisions, capturing economies of scale.</w:t>
      </w:r>
    </w:p>
    <w:p w14:paraId="74D01637" w14:textId="77777777" w:rsidR="00F31A20" w:rsidRPr="00F31A20" w:rsidRDefault="00F31A20" w:rsidP="00F31A20">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w:t>
      </w:r>
      <w:r w:rsidRPr="00F31A20">
        <w:rPr>
          <w:rFonts w:ascii="Segoe UI" w:eastAsia="Times New Roman" w:hAnsi="Segoe UI" w:cs="Segoe UI"/>
          <w:kern w:val="0"/>
          <w:sz w:val="21"/>
          <w:szCs w:val="21"/>
          <w14:ligatures w14:val="none"/>
        </w:rPr>
        <w:t xml:space="preserve"> As the transformation matures, TR could launch a </w:t>
      </w:r>
      <w:r w:rsidRPr="00F31A20">
        <w:rPr>
          <w:rFonts w:ascii="Segoe UI" w:eastAsia="Times New Roman" w:hAnsi="Segoe UI" w:cs="Segoe UI"/>
          <w:b/>
          <w:bCs/>
          <w:kern w:val="0"/>
          <w:sz w:val="21"/>
          <w:szCs w:val="21"/>
          <w14:ligatures w14:val="none"/>
        </w:rPr>
        <w:t>customer co-creation initiative</w:t>
      </w:r>
      <w:r w:rsidRPr="00F31A20">
        <w:rPr>
          <w:rFonts w:ascii="Segoe UI" w:eastAsia="Times New Roman" w:hAnsi="Segoe UI" w:cs="Segoe UI"/>
          <w:kern w:val="0"/>
          <w:sz w:val="21"/>
          <w:szCs w:val="21"/>
          <w14:ligatures w14:val="none"/>
        </w:rPr>
        <w:t xml:space="preserve"> as part of its portfolio. This would involve inviting select strategic customers to pilot new solutions or participate in designing the next features (for instance, forming a Client Advisory Board for AI products). Such collaboration can de-risk programs (getting early feedback), boost innovation, and deepen client loyalty. For example, corporate legal department customers could help shape the new workflow tool being built under the corporates segment transformation, ensuring it hits the mark and potentially securing early sales.</w:t>
      </w:r>
    </w:p>
    <w:p w14:paraId="6DF14027" w14:textId="77777777" w:rsidR="00F31A20" w:rsidRPr="00F31A20" w:rsidRDefault="00F31A20" w:rsidP="00F31A20">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Long-term (18–36 months):</w:t>
      </w:r>
      <w:r w:rsidRPr="00F31A20">
        <w:rPr>
          <w:rFonts w:ascii="Segoe UI" w:eastAsia="Times New Roman" w:hAnsi="Segoe UI" w:cs="Segoe UI"/>
          <w:kern w:val="0"/>
          <w:sz w:val="21"/>
          <w:szCs w:val="21"/>
          <w14:ligatures w14:val="none"/>
        </w:rPr>
        <w:t xml:space="preserve"> Looking further out, Thomson Reuters should prepare for a </w:t>
      </w:r>
      <w:r w:rsidRPr="00F31A20">
        <w:rPr>
          <w:rFonts w:ascii="Segoe UI" w:eastAsia="Times New Roman" w:hAnsi="Segoe UI" w:cs="Segoe UI"/>
          <w:b/>
          <w:bCs/>
          <w:kern w:val="0"/>
          <w:sz w:val="21"/>
          <w:szCs w:val="21"/>
          <w14:ligatures w14:val="none"/>
        </w:rPr>
        <w:t>Phase 2 transformation vision</w:t>
      </w:r>
      <w:r w:rsidRPr="00F31A20">
        <w:rPr>
          <w:rFonts w:ascii="Segoe UI" w:eastAsia="Times New Roman" w:hAnsi="Segoe UI" w:cs="Segoe UI"/>
          <w:kern w:val="0"/>
          <w:sz w:val="21"/>
          <w:szCs w:val="21"/>
          <w14:ligatures w14:val="none"/>
        </w:rPr>
        <w:t xml:space="preserve"> beyond the current slate of programs. Many initial initiatives (AI integration, cloud migration, etc.) will conclude or reach maturity in 2–3 years; TR should define what the next frontier is. Potential long-term programs could target areas like </w:t>
      </w:r>
      <w:r w:rsidRPr="00F31A20">
        <w:rPr>
          <w:rFonts w:ascii="Segoe UI" w:eastAsia="Times New Roman" w:hAnsi="Segoe UI" w:cs="Segoe UI"/>
          <w:b/>
          <w:bCs/>
          <w:kern w:val="0"/>
          <w:sz w:val="21"/>
          <w:szCs w:val="21"/>
          <w14:ligatures w14:val="none"/>
        </w:rPr>
        <w:t>“AI-Native Thomson Reuters”</w:t>
      </w:r>
      <w:r w:rsidRPr="00F31A20">
        <w:rPr>
          <w:rFonts w:ascii="Segoe UI" w:eastAsia="Times New Roman" w:hAnsi="Segoe UI" w:cs="Segoe UI"/>
          <w:kern w:val="0"/>
          <w:sz w:val="21"/>
          <w:szCs w:val="21"/>
          <w14:ligatures w14:val="none"/>
        </w:rPr>
        <w:t xml:space="preserve"> – reimagining each business if built entirely around AI, or </w:t>
      </w:r>
      <w:r w:rsidRPr="00F31A20">
        <w:rPr>
          <w:rFonts w:ascii="Segoe UI" w:eastAsia="Times New Roman" w:hAnsi="Segoe UI" w:cs="Segoe UI"/>
          <w:b/>
          <w:bCs/>
          <w:kern w:val="0"/>
          <w:sz w:val="21"/>
          <w:szCs w:val="21"/>
          <w14:ligatures w14:val="none"/>
        </w:rPr>
        <w:t>ecosystem platform strategy</w:t>
      </w:r>
      <w:r w:rsidRPr="00F31A20">
        <w:rPr>
          <w:rFonts w:ascii="Segoe UI" w:eastAsia="Times New Roman" w:hAnsi="Segoe UI" w:cs="Segoe UI"/>
          <w:kern w:val="0"/>
          <w:sz w:val="21"/>
          <w:szCs w:val="21"/>
          <w14:ligatures w14:val="none"/>
        </w:rPr>
        <w:t xml:space="preserve"> – turning TR’s services into open platforms that partners and customers build on (this might be hinted by current API projects and could evolve into a full program). By conceptualizing these now, TR can ensure the current efforts lay groundwork for them (e.g., ensuring modular architectures for future platform play). Another long-term opportunity: </w:t>
      </w:r>
      <w:r w:rsidRPr="00F31A20">
        <w:rPr>
          <w:rFonts w:ascii="Segoe UI" w:eastAsia="Times New Roman" w:hAnsi="Segoe UI" w:cs="Segoe UI"/>
          <w:b/>
          <w:bCs/>
          <w:kern w:val="0"/>
          <w:sz w:val="21"/>
          <w:szCs w:val="21"/>
          <w14:ligatures w14:val="none"/>
        </w:rPr>
        <w:t>merging transformation efforts with sustainability goals</w:t>
      </w:r>
      <w:r w:rsidRPr="00F31A20">
        <w:rPr>
          <w:rFonts w:ascii="Segoe UI" w:eastAsia="Times New Roman" w:hAnsi="Segoe UI" w:cs="Segoe UI"/>
          <w:kern w:val="0"/>
          <w:sz w:val="21"/>
          <w:szCs w:val="21"/>
          <w14:ligatures w14:val="none"/>
        </w:rPr>
        <w:t xml:space="preserve"> – e.g., launching a program on “Green TR” to modernize data centers and operations with sustainable tech, which could appeal to ESG-minded investors and optimize costs.</w:t>
      </w:r>
    </w:p>
    <w:p w14:paraId="5B3701E4" w14:textId="77777777" w:rsidR="00F31A20" w:rsidRPr="00F31A20" w:rsidRDefault="00F31A20" w:rsidP="00F31A20">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Long-term:</w:t>
      </w:r>
      <w:r w:rsidRPr="00F31A20">
        <w:rPr>
          <w:rFonts w:ascii="Segoe UI" w:eastAsia="Times New Roman" w:hAnsi="Segoe UI" w:cs="Segoe UI"/>
          <w:kern w:val="0"/>
          <w:sz w:val="21"/>
          <w:szCs w:val="21"/>
          <w14:ligatures w14:val="none"/>
        </w:rPr>
        <w:t xml:space="preserve"> Post-transformation, TR can also refine its </w:t>
      </w:r>
      <w:r w:rsidRPr="00F31A20">
        <w:rPr>
          <w:rFonts w:ascii="Segoe UI" w:eastAsia="Times New Roman" w:hAnsi="Segoe UI" w:cs="Segoe UI"/>
          <w:b/>
          <w:bCs/>
          <w:kern w:val="0"/>
          <w:sz w:val="21"/>
          <w:szCs w:val="21"/>
          <w14:ligatures w14:val="none"/>
        </w:rPr>
        <w:t>transformation governance model into a permanent innovation engine</w:t>
      </w:r>
      <w:r w:rsidRPr="00F31A20">
        <w:rPr>
          <w:rFonts w:ascii="Segoe UI" w:eastAsia="Times New Roman" w:hAnsi="Segoe UI" w:cs="Segoe UI"/>
          <w:kern w:val="0"/>
          <w:sz w:val="21"/>
          <w:szCs w:val="21"/>
          <w14:ligatures w14:val="none"/>
        </w:rPr>
        <w:t xml:space="preserve">. For example, institutionalize an </w:t>
      </w:r>
      <w:r w:rsidRPr="00F31A20">
        <w:rPr>
          <w:rFonts w:ascii="Segoe UI" w:eastAsia="Times New Roman" w:hAnsi="Segoe UI" w:cs="Segoe UI"/>
          <w:b/>
          <w:bCs/>
          <w:kern w:val="0"/>
          <w:sz w:val="21"/>
          <w:szCs w:val="21"/>
          <w14:ligatures w14:val="none"/>
        </w:rPr>
        <w:t>annual strategy hackathon</w:t>
      </w:r>
      <w:r w:rsidRPr="00F31A20">
        <w:rPr>
          <w:rFonts w:ascii="Segoe UI" w:eastAsia="Times New Roman" w:hAnsi="Segoe UI" w:cs="Segoe UI"/>
          <w:kern w:val="0"/>
          <w:sz w:val="21"/>
          <w:szCs w:val="21"/>
          <w14:ligatures w14:val="none"/>
        </w:rPr>
        <w:t xml:space="preserve"> where employees propose mini transformation projects; the best ideas get funding and become part of the portfolio. This keeps the spirit of continuous improvement alive beyond the big programs. It also identifies emerging internal leaders who drive change from the bottom-up, refreshing the transformation </w:t>
      </w:r>
      <w:r w:rsidRPr="00F31A20">
        <w:rPr>
          <w:rFonts w:ascii="Segoe UI" w:eastAsia="Times New Roman" w:hAnsi="Segoe UI" w:cs="Segoe UI"/>
          <w:kern w:val="0"/>
          <w:sz w:val="21"/>
          <w:szCs w:val="21"/>
          <w14:ligatures w14:val="none"/>
        </w:rPr>
        <w:lastRenderedPageBreak/>
        <w:t>portfolio with grassroots innovation. As a stable long-term state, TR could operate almost like a venture studio internally – constantly incubating and rolling out improvements, rather than transformation being seen as a finite endeavor. This cultural shift would solidify TR’s readiness to adapt to any future disruptions with agility.</w:t>
      </w:r>
    </w:p>
    <w:p w14:paraId="68506D0E"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Information Gaps &amp; Research Recommendations:</w:t>
      </w:r>
      <w:r w:rsidRPr="00F31A20">
        <w:rPr>
          <w:rFonts w:ascii="Segoe UI" w:eastAsia="Times New Roman" w:hAnsi="Segoe UI" w:cs="Segoe UI"/>
          <w:kern w:val="0"/>
          <w:sz w:val="21"/>
          <w:szCs w:val="21"/>
          <w14:ligatures w14:val="none"/>
        </w:rPr>
        <w:t xml:space="preserve"> To further refine and adjust its transformation portfolio, Thomson Reuters should gather additional data in a few areas. First, </w:t>
      </w:r>
      <w:r w:rsidRPr="00F31A20">
        <w:rPr>
          <w:rFonts w:ascii="Segoe UI" w:eastAsia="Times New Roman" w:hAnsi="Segoe UI" w:cs="Segoe UI"/>
          <w:b/>
          <w:bCs/>
          <w:kern w:val="0"/>
          <w:sz w:val="21"/>
          <w:szCs w:val="21"/>
          <w14:ligatures w14:val="none"/>
        </w:rPr>
        <w:t>benefits realization tracking</w:t>
      </w:r>
      <w:r w:rsidRPr="00F31A20">
        <w:rPr>
          <w:rFonts w:ascii="Segoe UI" w:eastAsia="Times New Roman" w:hAnsi="Segoe UI" w:cs="Segoe UI"/>
          <w:kern w:val="0"/>
          <w:sz w:val="21"/>
          <w:szCs w:val="21"/>
          <w14:ligatures w14:val="none"/>
        </w:rPr>
        <w:t xml:space="preserve"> could be strengthened: while KPIs exist, doing an in-depth post-implementation review of each major initiative (perhaps via third-party audit or an internal “Transformation PMO” analysis) would verify which projects are delivering expected returns and which aren’t. For instance, if a sales automation tool isn’t boosting close rates as expected, find out why (maybe additional training needed) and apply lessons to similar initiatives. Researching </w:t>
      </w:r>
      <w:r w:rsidRPr="00F31A20">
        <w:rPr>
          <w:rFonts w:ascii="Segoe UI" w:eastAsia="Times New Roman" w:hAnsi="Segoe UI" w:cs="Segoe UI"/>
          <w:b/>
          <w:bCs/>
          <w:kern w:val="0"/>
          <w:sz w:val="21"/>
          <w:szCs w:val="21"/>
          <w14:ligatures w14:val="none"/>
        </w:rPr>
        <w:t>employee feedback on change load</w:t>
      </w:r>
      <w:r w:rsidRPr="00F31A20">
        <w:rPr>
          <w:rFonts w:ascii="Segoe UI" w:eastAsia="Times New Roman" w:hAnsi="Segoe UI" w:cs="Segoe UI"/>
          <w:kern w:val="0"/>
          <w:sz w:val="21"/>
          <w:szCs w:val="21"/>
          <w14:ligatures w14:val="none"/>
        </w:rPr>
        <w:t xml:space="preserve"> is also important: implement brief pulse surveys to gauge if employees feel overwhelmed or well-supported by the changes. If certain groups report high change fatigue, TR can allocate more change management resources there or reschedule some rollouts. Another gap: </w:t>
      </w:r>
      <w:r w:rsidRPr="00F31A20">
        <w:rPr>
          <w:rFonts w:ascii="Segoe UI" w:eastAsia="Times New Roman" w:hAnsi="Segoe UI" w:cs="Segoe UI"/>
          <w:b/>
          <w:bCs/>
          <w:kern w:val="0"/>
          <w:sz w:val="21"/>
          <w:szCs w:val="21"/>
          <w14:ligatures w14:val="none"/>
        </w:rPr>
        <w:t>external benchmarking of transformation performance</w:t>
      </w:r>
      <w:r w:rsidRPr="00F31A20">
        <w:rPr>
          <w:rFonts w:ascii="Segoe UI" w:eastAsia="Times New Roman" w:hAnsi="Segoe UI" w:cs="Segoe UI"/>
          <w:kern w:val="0"/>
          <w:sz w:val="21"/>
          <w:szCs w:val="21"/>
          <w14:ligatures w14:val="none"/>
        </w:rPr>
        <w:t xml:space="preserve">. Engaging a consultancy or utilizing industry benchmarks could tell TR how its transformation speed and outcomes compare to peers (e.g., RELX or Wolters Kluwer). If, say, a competitor managed to migrate to cloud faster or rolled out AI features more broadly, TR can glean practices to accelerate its own programs. On the flip side, TR might discover it’s ahead in areas (like having an integrated platform) – that insight could be used in marketing or to double down on that advantage. Additionally, more </w:t>
      </w:r>
      <w:r w:rsidRPr="00F31A20">
        <w:rPr>
          <w:rFonts w:ascii="Segoe UI" w:eastAsia="Times New Roman" w:hAnsi="Segoe UI" w:cs="Segoe UI"/>
          <w:b/>
          <w:bCs/>
          <w:kern w:val="0"/>
          <w:sz w:val="21"/>
          <w:szCs w:val="21"/>
          <w14:ligatures w14:val="none"/>
        </w:rPr>
        <w:t>customer voice research</w:t>
      </w:r>
      <w:r w:rsidRPr="00F31A20">
        <w:rPr>
          <w:rFonts w:ascii="Segoe UI" w:eastAsia="Times New Roman" w:hAnsi="Segoe UI" w:cs="Segoe UI"/>
          <w:kern w:val="0"/>
          <w:sz w:val="21"/>
          <w:szCs w:val="21"/>
          <w14:ligatures w14:val="none"/>
        </w:rPr>
        <w:t xml:space="preserve"> around the changes would be insightful: TR could interview clients who experienced its transformed services (e.g., clients in the pilot of AI-driven Westlaw) to gather perspective on value delivered and any gaps remaining. This can inform any mid-course adjustments to programs (for example, if customers love the AI features but find them hard to discover in the interface, that feeds back into a UX improvement initiative). Lastly, as programs wind down, TR should identify </w:t>
      </w:r>
      <w:r w:rsidRPr="00F31A20">
        <w:rPr>
          <w:rFonts w:ascii="Segoe UI" w:eastAsia="Times New Roman" w:hAnsi="Segoe UI" w:cs="Segoe UI"/>
          <w:b/>
          <w:bCs/>
          <w:kern w:val="0"/>
          <w:sz w:val="21"/>
          <w:szCs w:val="21"/>
          <w14:ligatures w14:val="none"/>
        </w:rPr>
        <w:t>new skill or talent gaps</w:t>
      </w:r>
      <w:r w:rsidRPr="00F31A20">
        <w:rPr>
          <w:rFonts w:ascii="Segoe UI" w:eastAsia="Times New Roman" w:hAnsi="Segoe UI" w:cs="Segoe UI"/>
          <w:kern w:val="0"/>
          <w:sz w:val="21"/>
          <w:szCs w:val="21"/>
          <w14:ligatures w14:val="none"/>
        </w:rPr>
        <w:t xml:space="preserve"> that might slow execution. If the portfolio analysis reveals a shortage of, say, AI engineers or change managers, proactive hiring or training programs can be launched. A recommendation is to maintain a “capability heatmap” for executing transformation – highlighting areas where the company needs to bolster capability through recruitment or partnerships (e.g., perhaps partnering with a cloud firm for specialized expertise on a tricky migration). By addressing these information gaps with targeted research and feedback loops, Thomson Reuters can ensure its strategic initiatives remain on target, adapt to real-world results, and continuously align with evolving business and customer needs.</w:t>
      </w:r>
    </w:p>
    <w:p w14:paraId="70749B22"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Summary:</w:t>
      </w:r>
      <w:r w:rsidRPr="00F31A20">
        <w:rPr>
          <w:rFonts w:ascii="Segoe UI" w:eastAsia="Times New Roman" w:hAnsi="Segoe UI" w:cs="Segoe UI"/>
          <w:kern w:val="0"/>
          <w:sz w:val="21"/>
          <w:szCs w:val="21"/>
          <w14:ligatures w14:val="none"/>
        </w:rPr>
        <w:t xml:space="preserve"> Thomson Reuters demonstrates a well-orchestrated transformation program portfolio that aligns with its strategic vision and has a track record of delivery. The company’s readiness is evident in how it has institutionalized transformation management and resourced its initiatives – turning ambitious goals (integrated platforms, AI-led products, streamlined operations) into concrete projects with accountable owners and measured outcomes. With strong sponsorship from leadership and broad integration of AI as a transformative tool, TR’s strategic initiatives are positioned to drive substantial business value. Going forward, maintaining agility in the portfolio (scaling up successes, iterating on less effective efforts) and preparing for the next wave of innovation will be key. Yet, given the solid foundation and cultural buy-in established, Thomson Reuters is highly capable of evolving its program portfolio dynamically. In essence, the company is not just managing a list of projects – it’s cultivating a sustained transformation engine that can propel the organization’s reimagination over the next several years and beyond, keeping it at the forefront of its industry’s evolution.</w:t>
      </w:r>
    </w:p>
    <w:p w14:paraId="44705A84" w14:textId="77777777" w:rsidR="00F31A20" w:rsidRPr="00F31A20" w:rsidRDefault="00AF5BFA" w:rsidP="00F31A20">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r>
      <w:r w:rsidR="00AF5BFA">
        <w:rPr>
          <w:rFonts w:ascii="Segoe UI" w:eastAsia="Times New Roman" w:hAnsi="Segoe UI" w:cs="Segoe UI"/>
          <w:noProof/>
          <w:kern w:val="0"/>
          <w:sz w:val="21"/>
          <w:szCs w:val="21"/>
        </w:rPr>
        <w:pict w14:anchorId="678F4F27">
          <v:rect id="_x0000_i1039" alt="" style="width:468pt;height:.05pt;mso-width-percent:0;mso-height-percent:0;mso-width-percent:0;mso-height-percent:0" o:hralign="center" o:hrstd="t" o:hr="t" fillcolor="#a0a0a0" stroked="f"/>
        </w:pict>
      </w:r>
    </w:p>
    <w:p w14:paraId="254D5AD6" w14:textId="77777777" w:rsidR="00F31A20" w:rsidRPr="00F31A20" w:rsidRDefault="00F31A20" w:rsidP="00F31A2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31A20">
        <w:rPr>
          <w:rFonts w:ascii="Segoe UI" w:eastAsia="Times New Roman" w:hAnsi="Segoe UI" w:cs="Segoe UI"/>
          <w:b/>
          <w:bCs/>
          <w:kern w:val="0"/>
          <w:sz w:val="36"/>
          <w:szCs w:val="36"/>
          <w14:ligatures w14:val="none"/>
        </w:rPr>
        <w:t>CROSS-FUNCTIONAL INTEGRATION &amp; SYNERGY OPPORTUNITIES</w:t>
      </w:r>
    </w:p>
    <w:p w14:paraId="23A29843"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Transformation Readiness Assessment:</w:t>
      </w:r>
      <w:r w:rsidRPr="00F31A20">
        <w:rPr>
          <w:rFonts w:ascii="Segoe UI" w:eastAsia="Times New Roman" w:hAnsi="Segoe UI" w:cs="Segoe UI"/>
          <w:kern w:val="0"/>
          <w:sz w:val="21"/>
          <w:szCs w:val="21"/>
          <w14:ligatures w14:val="none"/>
        </w:rPr>
        <w:t xml:space="preserve"> The company has made notable progress in breaking down silos and fostering cross-functional integration, creating significant synergy opportunities across its business (Rating: </w:t>
      </w:r>
      <w:r w:rsidRPr="00F31A20">
        <w:rPr>
          <w:rFonts w:ascii="Segoe UI" w:eastAsia="Times New Roman" w:hAnsi="Segoe UI" w:cs="Segoe UI"/>
          <w:b/>
          <w:bCs/>
          <w:kern w:val="0"/>
          <w:sz w:val="21"/>
          <w:szCs w:val="21"/>
          <w14:ligatures w14:val="none"/>
        </w:rPr>
        <w:t>4/5</w:t>
      </w:r>
      <w:r w:rsidRPr="00F31A20">
        <w:rPr>
          <w:rFonts w:ascii="Segoe UI" w:eastAsia="Times New Roman" w:hAnsi="Segoe UI" w:cs="Segoe UI"/>
          <w:kern w:val="0"/>
          <w:sz w:val="21"/>
          <w:szCs w:val="21"/>
          <w14:ligatures w14:val="none"/>
        </w:rPr>
        <w:t xml:space="preserve">). Since the 2021 reorganization, Thomson Reuters operates more holistically: corporate functions like Operations &amp; Technology and Commercial Excellence now serve all segments, enabling shared platforms and unified processes. This has already yielded efficiencies (e.g., a single </w:t>
      </w:r>
      <w:r w:rsidRPr="00F31A20">
        <w:rPr>
          <w:rFonts w:ascii="Segoe UI" w:eastAsia="Times New Roman" w:hAnsi="Segoe UI" w:cs="Segoe UI"/>
          <w:b/>
          <w:bCs/>
          <w:kern w:val="0"/>
          <w:sz w:val="21"/>
          <w:szCs w:val="21"/>
          <w14:ligatures w14:val="none"/>
        </w:rPr>
        <w:t>Thomson Reuters Account login</w:t>
      </w:r>
      <w:r w:rsidRPr="00F31A20">
        <w:rPr>
          <w:rFonts w:ascii="Segoe UI" w:eastAsia="Times New Roman" w:hAnsi="Segoe UI" w:cs="Segoe UI"/>
          <w:kern w:val="0"/>
          <w:sz w:val="21"/>
          <w:szCs w:val="21"/>
          <w14:ligatures w14:val="none"/>
        </w:rPr>
        <w:t xml:space="preserve"> across products was implemented, reducing duplicate user management and cutting support tickets by ~30%</w:t>
      </w:r>
      <w:hyperlink r:id="rId303" w:history="1">
        <w:r w:rsidRPr="00F31A20">
          <w:rPr>
            <w:rFonts w:ascii="Segoe UI" w:eastAsia="Times New Roman" w:hAnsi="Segoe UI" w:cs="Segoe UI"/>
            <w:color w:val="464FEB"/>
            <w:kern w:val="0"/>
            <w:sz w:val="21"/>
            <w:szCs w:val="21"/>
            <w14:ligatures w14:val="none"/>
          </w:rPr>
          <w:t>[5]</w:t>
        </w:r>
      </w:hyperlink>
      <w:r w:rsidRPr="00F31A20">
        <w:rPr>
          <w:rFonts w:ascii="Segoe UI" w:eastAsia="Times New Roman" w:hAnsi="Segoe UI" w:cs="Segoe UI"/>
          <w:kern w:val="0"/>
          <w:sz w:val="21"/>
          <w:szCs w:val="21"/>
          <w14:ligatures w14:val="none"/>
        </w:rPr>
        <w:t>). The Big 3 segments (Legal, Tax, Corporates) are increasingly leveraging each other’s strengths – for instance, content from the legal team (court rulings) is repackaged as insights for corporates, while tax technology (ONESOURCE platform) is being extended to legal compliance contexts. The readiness score is high because TR has the structural elements for synergy in place (integrated teams, shared data lakes, common KPIs for cross-sell), and early wins demonstrate an appetite for collaboration. To reach 5/5, the company will need to further harmonize remaining disparate systems (some legacy platforms still segment-specific) and continue nurturing a one-company culture at all levels (some mid-level managers historically focused on their silo may need ongoing encouragement to think enterprise-first). Nonetheless, the momentum is strong: cross-functional initiatives (like solution bundles that combine legal, tax, and risk products for corporate clients) are already in market, signaling that TR is well on its way to capitalizing fully on internal synergies.</w:t>
      </w:r>
    </w:p>
    <w:p w14:paraId="2FB817FC"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Key Internal Findings:</w:t>
      </w:r>
      <w:r w:rsidRPr="00F31A20">
        <w:rPr>
          <w:rFonts w:ascii="Segoe UI" w:eastAsia="Times New Roman" w:hAnsi="Segoe UI" w:cs="Segoe UI"/>
          <w:kern w:val="0"/>
          <w:sz w:val="21"/>
          <w:szCs w:val="21"/>
          <w14:ligatures w14:val="none"/>
        </w:rPr>
        <w:t xml:space="preserve"> Internally, one of the clearest findings from the transformation effort was how much latent value could be unlocked by making Thomson Reuters’ various parts work more closely together. A prime example came when sales data and customer feedback were analyzed holistically: it revealed that many corporate clients were buying legal information from TR but tax solutions from a competitor, simply because no one had approached them with a unified TR offering. This insight led to the creation of </w:t>
      </w:r>
      <w:r w:rsidRPr="00F31A20">
        <w:rPr>
          <w:rFonts w:ascii="Segoe UI" w:eastAsia="Times New Roman" w:hAnsi="Segoe UI" w:cs="Segoe UI"/>
          <w:b/>
          <w:bCs/>
          <w:kern w:val="0"/>
          <w:sz w:val="21"/>
          <w:szCs w:val="21"/>
          <w14:ligatures w14:val="none"/>
        </w:rPr>
        <w:t>cross-segment sales teams</w:t>
      </w:r>
      <w:r w:rsidRPr="00F31A20">
        <w:rPr>
          <w:rFonts w:ascii="Segoe UI" w:eastAsia="Times New Roman" w:hAnsi="Segoe UI" w:cs="Segoe UI"/>
          <w:kern w:val="0"/>
          <w:sz w:val="21"/>
          <w:szCs w:val="21"/>
          <w14:ligatures w14:val="none"/>
        </w:rPr>
        <w:t xml:space="preserve"> for top accounts in 2022, which contributed to a double-digit increase in multi-product sales opportunities. Similarly, product teams realized they could integrate workflows across products – e.g., a Practical Law checklist (Legal) can trigger a task in ONESOURCE (Tax) for a joint client’s compliance process. As a result, TR launched a </w:t>
      </w:r>
      <w:r w:rsidRPr="00F31A20">
        <w:rPr>
          <w:rFonts w:ascii="Segoe UI" w:eastAsia="Times New Roman" w:hAnsi="Segoe UI" w:cs="Segoe UI"/>
          <w:b/>
          <w:bCs/>
          <w:kern w:val="0"/>
          <w:sz w:val="21"/>
          <w:szCs w:val="21"/>
          <w14:ligatures w14:val="none"/>
        </w:rPr>
        <w:t>“</w:t>
      </w:r>
      <w:proofErr w:type="spellStart"/>
      <w:r w:rsidRPr="00F31A20">
        <w:rPr>
          <w:rFonts w:ascii="Segoe UI" w:eastAsia="Times New Roman" w:hAnsi="Segoe UI" w:cs="Segoe UI"/>
          <w:b/>
          <w:bCs/>
          <w:kern w:val="0"/>
          <w:sz w:val="21"/>
          <w:szCs w:val="21"/>
          <w14:ligatures w14:val="none"/>
        </w:rPr>
        <w:t>OneTR</w:t>
      </w:r>
      <w:proofErr w:type="spellEnd"/>
      <w:r w:rsidRPr="00F31A20">
        <w:rPr>
          <w:rFonts w:ascii="Segoe UI" w:eastAsia="Times New Roman" w:hAnsi="Segoe UI" w:cs="Segoe UI"/>
          <w:b/>
          <w:bCs/>
          <w:kern w:val="0"/>
          <w:sz w:val="21"/>
          <w:szCs w:val="21"/>
          <w14:ligatures w14:val="none"/>
        </w:rPr>
        <w:t xml:space="preserve"> Customer Workflow” project</w:t>
      </w:r>
      <w:r w:rsidRPr="00F31A20">
        <w:rPr>
          <w:rFonts w:ascii="Segoe UI" w:eastAsia="Times New Roman" w:hAnsi="Segoe UI" w:cs="Segoe UI"/>
          <w:kern w:val="0"/>
          <w:sz w:val="21"/>
          <w:szCs w:val="21"/>
          <w14:ligatures w14:val="none"/>
        </w:rPr>
        <w:t xml:space="preserve"> to knit together user experiences; now a corporate counsel using Westlaw can seamlessly pull up relevant tax regulations from Checkpoint if needed, assuming they subscribe to both. On the operational side, the consolidation of platforms has been a major enabler. One finding was that prior to integration, the company had </w:t>
      </w:r>
      <w:r w:rsidRPr="00F31A20">
        <w:rPr>
          <w:rFonts w:ascii="Segoe UI" w:eastAsia="Times New Roman" w:hAnsi="Segoe UI" w:cs="Segoe UI"/>
          <w:b/>
          <w:bCs/>
          <w:kern w:val="0"/>
          <w:sz w:val="21"/>
          <w:szCs w:val="21"/>
          <w14:ligatures w14:val="none"/>
        </w:rPr>
        <w:t>278 separate websites and portals</w:t>
      </w:r>
      <w:r w:rsidRPr="00F31A20">
        <w:rPr>
          <w:rFonts w:ascii="Segoe UI" w:eastAsia="Times New Roman" w:hAnsi="Segoe UI" w:cs="Segoe UI"/>
          <w:kern w:val="0"/>
          <w:sz w:val="21"/>
          <w:szCs w:val="21"/>
          <w14:ligatures w14:val="none"/>
        </w:rPr>
        <w:t xml:space="preserve"> for various services – confusing for customers and inefficient internally. Through the Change Program and after, TR aggressively reduced this fragmentation: for example, it now has unified e-commerce portals, a single learning management system for all training content, and is in the process of consolidating content repositories (the “Cobalt” unified content platform is replacing separate databases for Legal, Tax, and News content</w:t>
      </w:r>
      <w:hyperlink r:id="rId304"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xml:space="preserve">). This not only saves cost but opens cross-functional uses of content (Reuters News content can be easily embedded into legal research experiences to provide news context, etc.). Culturally, an important internal finding is that employees have become more </w:t>
      </w:r>
      <w:proofErr w:type="gramStart"/>
      <w:r w:rsidRPr="00F31A20">
        <w:rPr>
          <w:rFonts w:ascii="Segoe UI" w:eastAsia="Times New Roman" w:hAnsi="Segoe UI" w:cs="Segoe UI"/>
          <w:kern w:val="0"/>
          <w:sz w:val="21"/>
          <w:szCs w:val="21"/>
          <w14:ligatures w14:val="none"/>
        </w:rPr>
        <w:t>synergy-minded</w:t>
      </w:r>
      <w:proofErr w:type="gramEnd"/>
      <w:r w:rsidRPr="00F31A20">
        <w:rPr>
          <w:rFonts w:ascii="Segoe UI" w:eastAsia="Times New Roman" w:hAnsi="Segoe UI" w:cs="Segoe UI"/>
          <w:kern w:val="0"/>
          <w:sz w:val="21"/>
          <w:szCs w:val="21"/>
          <w14:ligatures w14:val="none"/>
        </w:rPr>
        <w:t xml:space="preserve">. The introduction of </w:t>
      </w:r>
      <w:r w:rsidRPr="00F31A20">
        <w:rPr>
          <w:rFonts w:ascii="Segoe UI" w:eastAsia="Times New Roman" w:hAnsi="Segoe UI" w:cs="Segoe UI"/>
          <w:b/>
          <w:bCs/>
          <w:kern w:val="0"/>
          <w:sz w:val="21"/>
          <w:szCs w:val="21"/>
          <w14:ligatures w14:val="none"/>
        </w:rPr>
        <w:t>enterprise OKRs</w:t>
      </w:r>
      <w:r w:rsidRPr="00F31A20">
        <w:rPr>
          <w:rFonts w:ascii="Segoe UI" w:eastAsia="Times New Roman" w:hAnsi="Segoe UI" w:cs="Segoe UI"/>
          <w:kern w:val="0"/>
          <w:sz w:val="21"/>
          <w:szCs w:val="21"/>
          <w14:ligatures w14:val="none"/>
        </w:rPr>
        <w:t xml:space="preserve"> – objectives that can only be achieved if multiple teams collaborate – has shifted behavior. For instance, an OKR to “increase small law firm penetration by offering integrated solutions” forced the Legal and Tax segment teams to jointly develop a small-firm bundle; this collaboration paid off with a successful pilot and is now a standard offering. The company also established mechanisms like </w:t>
      </w:r>
      <w:r w:rsidRPr="00F31A20">
        <w:rPr>
          <w:rFonts w:ascii="Segoe UI" w:eastAsia="Times New Roman" w:hAnsi="Segoe UI" w:cs="Segoe UI"/>
          <w:b/>
          <w:bCs/>
          <w:kern w:val="0"/>
          <w:sz w:val="21"/>
          <w:szCs w:val="21"/>
          <w14:ligatures w14:val="none"/>
        </w:rPr>
        <w:t>weekly cross-functional scrum-of-scrums</w:t>
      </w:r>
      <w:r w:rsidRPr="00F31A20">
        <w:rPr>
          <w:rFonts w:ascii="Segoe UI" w:eastAsia="Times New Roman" w:hAnsi="Segoe UI" w:cs="Segoe UI"/>
          <w:kern w:val="0"/>
          <w:sz w:val="21"/>
          <w:szCs w:val="21"/>
          <w14:ligatures w14:val="none"/>
        </w:rPr>
        <w:t xml:space="preserve"> for key initiatives, ensuring issues between departments are resolved in real time. There remain some challenges identified: not all data is fully integrated yet, as legacy constraints mean a customer’s support history might sit in one system while product usage is in another, requiring manual work to connect insights. Recognizing this, TR’s Data Office prioritized building a </w:t>
      </w:r>
      <w:r w:rsidRPr="00F31A20">
        <w:rPr>
          <w:rFonts w:ascii="Segoe UI" w:eastAsia="Times New Roman" w:hAnsi="Segoe UI" w:cs="Segoe UI"/>
          <w:b/>
          <w:bCs/>
          <w:kern w:val="0"/>
          <w:sz w:val="21"/>
          <w:szCs w:val="21"/>
          <w14:ligatures w14:val="none"/>
        </w:rPr>
        <w:t>unified customer data platform</w:t>
      </w:r>
      <w:r w:rsidRPr="00F31A20">
        <w:rPr>
          <w:rFonts w:ascii="Segoe UI" w:eastAsia="Times New Roman" w:hAnsi="Segoe UI" w:cs="Segoe UI"/>
          <w:kern w:val="0"/>
          <w:sz w:val="21"/>
          <w:szCs w:val="21"/>
          <w14:ligatures w14:val="none"/>
        </w:rPr>
        <w:t xml:space="preserve"> as a shared asset for sales, support, and product teams – it went live in 2024, and early usage indicates much higher visibility into account health across functions. Another subtle finding: the few areas where silos linger tend to be where external constraints </w:t>
      </w:r>
      <w:proofErr w:type="gramStart"/>
      <w:r w:rsidRPr="00F31A20">
        <w:rPr>
          <w:rFonts w:ascii="Segoe UI" w:eastAsia="Times New Roman" w:hAnsi="Segoe UI" w:cs="Segoe UI"/>
          <w:kern w:val="0"/>
          <w:sz w:val="21"/>
          <w:szCs w:val="21"/>
          <w14:ligatures w14:val="none"/>
        </w:rPr>
        <w:t>exist;</w:t>
      </w:r>
      <w:proofErr w:type="gramEnd"/>
      <w:r w:rsidRPr="00F31A20">
        <w:rPr>
          <w:rFonts w:ascii="Segoe UI" w:eastAsia="Times New Roman" w:hAnsi="Segoe UI" w:cs="Segoe UI"/>
          <w:kern w:val="0"/>
          <w:sz w:val="21"/>
          <w:szCs w:val="21"/>
          <w14:ligatures w14:val="none"/>
        </w:rPr>
        <w:t xml:space="preserve"> e.g., Reuters News operates with editorial independence (Trust Principles) which limits integration with commercial functions – but even there, synergy is found in technology and support services. Overall, internal analysis shows cross-functional collaboration is no longer an afterthought but an integral way of working at TR, consistently pushed by leadership (the CEO often reminds teams in forums to “think horizontally” and reward systems have been tweaked to include collaboration metrics).</w:t>
      </w:r>
    </w:p>
    <w:p w14:paraId="447CE9A0"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AI Integration Context:</w:t>
      </w:r>
      <w:r w:rsidRPr="00F31A20">
        <w:rPr>
          <w:rFonts w:ascii="Segoe UI" w:eastAsia="Times New Roman" w:hAnsi="Segoe UI" w:cs="Segoe UI"/>
          <w:kern w:val="0"/>
          <w:sz w:val="21"/>
          <w:szCs w:val="21"/>
          <w14:ligatures w14:val="none"/>
        </w:rPr>
        <w:t xml:space="preserve"> AI is </w:t>
      </w:r>
      <w:proofErr w:type="gramStart"/>
      <w:r w:rsidRPr="00F31A20">
        <w:rPr>
          <w:rFonts w:ascii="Segoe UI" w:eastAsia="Times New Roman" w:hAnsi="Segoe UI" w:cs="Segoe UI"/>
          <w:kern w:val="0"/>
          <w:sz w:val="21"/>
          <w:szCs w:val="21"/>
          <w14:ligatures w14:val="none"/>
        </w:rPr>
        <w:t>actually accelerating</w:t>
      </w:r>
      <w:proofErr w:type="gramEnd"/>
      <w:r w:rsidRPr="00F31A20">
        <w:rPr>
          <w:rFonts w:ascii="Segoe UI" w:eastAsia="Times New Roman" w:hAnsi="Segoe UI" w:cs="Segoe UI"/>
          <w:kern w:val="0"/>
          <w:sz w:val="21"/>
          <w:szCs w:val="21"/>
          <w14:ligatures w14:val="none"/>
        </w:rPr>
        <w:t xml:space="preserve"> cross-functional integration at Thomson Reuters. Because deploying AI solutions often requires diverse expertise (data scientists, domain experts, AI engineers), many of TR’s AI-powered projects inherently cut across organizational boundaries. Take the development of </w:t>
      </w:r>
      <w:proofErr w:type="spellStart"/>
      <w:r w:rsidRPr="00F31A20">
        <w:rPr>
          <w:rFonts w:ascii="Segoe UI" w:eastAsia="Times New Roman" w:hAnsi="Segoe UI" w:cs="Segoe UI"/>
          <w:b/>
          <w:bCs/>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the generative AI assistant: it involved Legal content experts, technologists from the AI Center of Excellence, platform engineers from O\&amp;T, and even sales reps providing user stories – a truly cross-functional venture. The success of </w:t>
      </w:r>
      <w:proofErr w:type="spellStart"/>
      <w:r w:rsidRPr="00F31A20">
        <w:rPr>
          <w:rFonts w:ascii="Segoe UI" w:eastAsia="Times New Roman" w:hAnsi="Segoe UI" w:cs="Segoe UI"/>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(which now serves both legal and tax use cases) demonstrated the value of pooling talent and data from various segments into one AI initiative. Moreover, AI outputs themselves drive integration: an AI that summarizes legal and tax changes together encourages product teams to share data and integrate features. Thomson Reuters has capitalized on this by forming </w:t>
      </w:r>
      <w:r w:rsidRPr="00F31A20">
        <w:rPr>
          <w:rFonts w:ascii="Segoe UI" w:eastAsia="Times New Roman" w:hAnsi="Segoe UI" w:cs="Segoe UI"/>
          <w:b/>
          <w:bCs/>
          <w:kern w:val="0"/>
          <w:sz w:val="21"/>
          <w:szCs w:val="21"/>
          <w14:ligatures w14:val="none"/>
        </w:rPr>
        <w:t>joint AI development squads</w:t>
      </w:r>
      <w:r w:rsidRPr="00F31A20">
        <w:rPr>
          <w:rFonts w:ascii="Segoe UI" w:eastAsia="Times New Roman" w:hAnsi="Segoe UI" w:cs="Segoe UI"/>
          <w:kern w:val="0"/>
          <w:sz w:val="21"/>
          <w:szCs w:val="21"/>
          <w14:ligatures w14:val="none"/>
        </w:rPr>
        <w:t xml:space="preserve"> that include members from multiple product lines – for example, an AI for “contract analysis” draws on expertise from Legal (contracts content), Tax (if contracts have tax clauses), and Corporates (the workflow in a GC’s office). This cross-pollination ensures the AI solutions are not siloed but broad-based, serving multiple functions. Another synergy via AI is on the data side: TR’s move to a unified data lake for AI model training meant that previously isolated datasets (like legal citations, customer usage logs from different products, support queries, etc.) were brought together for the first time. This revealed interconnections – e.g., customers’ questions in support tickets informed which AI answers to prioritize in product – and ultimately led to more integrated thinking in customer service. AI is also enabling </w:t>
      </w:r>
      <w:r w:rsidRPr="00F31A20">
        <w:rPr>
          <w:rFonts w:ascii="Segoe UI" w:eastAsia="Times New Roman" w:hAnsi="Segoe UI" w:cs="Segoe UI"/>
          <w:b/>
          <w:bCs/>
          <w:kern w:val="0"/>
          <w:sz w:val="21"/>
          <w:szCs w:val="21"/>
          <w14:ligatures w14:val="none"/>
        </w:rPr>
        <w:t>scalable cross-training of staff</w:t>
      </w:r>
      <w:r w:rsidRPr="00F31A20">
        <w:rPr>
          <w:rFonts w:ascii="Segoe UI" w:eastAsia="Times New Roman" w:hAnsi="Segoe UI" w:cs="Segoe UI"/>
          <w:kern w:val="0"/>
          <w:sz w:val="21"/>
          <w:szCs w:val="21"/>
          <w14:ligatures w14:val="none"/>
        </w:rPr>
        <w:t xml:space="preserve">: using AI tools, an employee in one department can more easily grasp content from another (imagine a sales rep using a GPT chatbot to quickly learn key tax law concepts, bridging a knowledge gap). TR’s internal AI knowledge base, accessible company-wide, further reduces functional barriers by democratizing information. A practical example: when generative AI was used to analyze contract documents, the output combined legal interpretations (from Legal’s perspective) and operational risk implications (of interest to Corporates), which in the past might have been separate memos from separate teams – now it’s one holistic AI-generated report, prompting </w:t>
      </w:r>
      <w:r w:rsidRPr="00F31A20">
        <w:rPr>
          <w:rFonts w:ascii="Segoe UI" w:eastAsia="Times New Roman" w:hAnsi="Segoe UI" w:cs="Segoe UI"/>
          <w:i/>
          <w:iCs/>
          <w:kern w:val="0"/>
          <w:sz w:val="21"/>
          <w:szCs w:val="21"/>
          <w14:ligatures w14:val="none"/>
        </w:rPr>
        <w:t>both</w:t>
      </w:r>
      <w:r w:rsidRPr="00F31A20">
        <w:rPr>
          <w:rFonts w:ascii="Segoe UI" w:eastAsia="Times New Roman" w:hAnsi="Segoe UI" w:cs="Segoe UI"/>
          <w:kern w:val="0"/>
          <w:sz w:val="21"/>
          <w:szCs w:val="21"/>
          <w14:ligatures w14:val="none"/>
        </w:rPr>
        <w:t xml:space="preserve"> teams to review it together rather than in isolation. AI projects also often require centralized governance (to manage ethical risks), which TR has in place via its AI Governance Committee; this committee ensures any cross-functional AI initiative meets everyone’s standards and doesn’t slip through cracks. In summary, AI is both a catalyst and a glue for cross-functional synergy at TR: it forces collaboration to develop and deploy, and its resulting capabilities encourage integrated workflows and solutions that transcend traditional departmental lines. The company recognizes this and has deliberately used high-profile AI efforts as “integration labs” to teach the organization how to operate in a more matrixed, collaborative fashion, with considerable success to date.</w:t>
      </w:r>
    </w:p>
    <w:p w14:paraId="071B791E"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Supporting Internal Evidence:</w:t>
      </w:r>
      <w:r w:rsidRPr="00F31A20">
        <w:rPr>
          <w:rFonts w:ascii="Segoe UI" w:eastAsia="Times New Roman" w:hAnsi="Segoe UI" w:cs="Segoe UI"/>
          <w:kern w:val="0"/>
          <w:sz w:val="21"/>
          <w:szCs w:val="21"/>
          <w14:ligatures w14:val="none"/>
        </w:rPr>
        <w:t xml:space="preserve"> Evidence of increased cross-functional integration and its benefits is seen in KPIs and anecdotes throughout TR’s internal reports. The </w:t>
      </w:r>
      <w:r w:rsidRPr="00F31A20">
        <w:rPr>
          <w:rFonts w:ascii="Segoe UI" w:eastAsia="Times New Roman" w:hAnsi="Segoe UI" w:cs="Segoe UI"/>
          <w:b/>
          <w:bCs/>
          <w:kern w:val="0"/>
          <w:sz w:val="21"/>
          <w:szCs w:val="21"/>
          <w14:ligatures w14:val="none"/>
        </w:rPr>
        <w:t>customer cross-sell rate</w:t>
      </w:r>
      <w:r w:rsidRPr="00F31A20">
        <w:rPr>
          <w:rFonts w:ascii="Segoe UI" w:eastAsia="Times New Roman" w:hAnsi="Segoe UI" w:cs="Segoe UI"/>
          <w:kern w:val="0"/>
          <w:sz w:val="21"/>
          <w:szCs w:val="21"/>
          <w14:ligatures w14:val="none"/>
        </w:rPr>
        <w:t xml:space="preserve"> is one strong indicator: in 2021, before major integration, only about 15% of TR’s top 500 customers bought solutions from all three big segments. By mid-2024, that figure rose to ~25%, and the pipeline of multi-product deals grew even more, as noted in a Commercial Excellence update</w:t>
      </w:r>
      <w:hyperlink r:id="rId305" w:history="1">
        <w:r w:rsidRPr="00F31A20">
          <w:rPr>
            <w:rFonts w:ascii="Segoe UI" w:eastAsia="Times New Roman" w:hAnsi="Segoe UI" w:cs="Segoe UI"/>
            <w:color w:val="464FEB"/>
            <w:kern w:val="0"/>
            <w:sz w:val="21"/>
            <w:szCs w:val="21"/>
            <w14:ligatures w14:val="none"/>
          </w:rPr>
          <w:t>[6]</w:t>
        </w:r>
      </w:hyperlink>
      <w:r w:rsidRPr="00F31A20">
        <w:rPr>
          <w:rFonts w:ascii="Segoe UI" w:eastAsia="Times New Roman" w:hAnsi="Segoe UI" w:cs="Segoe UI"/>
          <w:kern w:val="0"/>
          <w:sz w:val="21"/>
          <w:szCs w:val="21"/>
          <w14:ligatures w14:val="none"/>
        </w:rPr>
        <w:t xml:space="preserve">. This improvement is directly tied to integrated account planning introduced in 2022, which an internal sales effectiveness study credited with “breaking the one-product-per-rep paradigm” and driving larger, stickier deals. Another data point: usage analytics from early 2023 showed that customers who use two or more TR products had 10-15% higher retention rates and NPS scores than single-product customers – a business case for synergy that was circulated among segment leaders to encourage bundling. On the technology side, the rollout of the </w:t>
      </w:r>
      <w:r w:rsidRPr="00F31A20">
        <w:rPr>
          <w:rFonts w:ascii="Segoe UI" w:eastAsia="Times New Roman" w:hAnsi="Segoe UI" w:cs="Segoe UI"/>
          <w:b/>
          <w:bCs/>
          <w:kern w:val="0"/>
          <w:sz w:val="21"/>
          <w:szCs w:val="21"/>
          <w14:ligatures w14:val="none"/>
        </w:rPr>
        <w:t>TR unified login (Single Sign-On)</w:t>
      </w:r>
      <w:r w:rsidRPr="00F31A20">
        <w:rPr>
          <w:rFonts w:ascii="Segoe UI" w:eastAsia="Times New Roman" w:hAnsi="Segoe UI" w:cs="Segoe UI"/>
          <w:kern w:val="0"/>
          <w:sz w:val="21"/>
          <w:szCs w:val="21"/>
          <w14:ligatures w14:val="none"/>
        </w:rPr>
        <w:t xml:space="preserve"> across Westlaw, Practical Law, and Checkpoint by Q1 2023 (known internally as the “OnePass deprecation project”) was celebrated in a tech town hall, highlighting how it simplified the user experience and internal user management processes</w:t>
      </w:r>
      <w:hyperlink r:id="rId306" w:history="1">
        <w:r w:rsidRPr="00F31A20">
          <w:rPr>
            <w:rFonts w:ascii="Segoe UI" w:eastAsia="Times New Roman" w:hAnsi="Segoe UI" w:cs="Segoe UI"/>
            <w:color w:val="464FEB"/>
            <w:kern w:val="0"/>
            <w:sz w:val="21"/>
            <w:szCs w:val="21"/>
            <w14:ligatures w14:val="none"/>
          </w:rPr>
          <w:t>[5]</w:t>
        </w:r>
      </w:hyperlink>
      <w:r w:rsidRPr="00F31A20">
        <w:rPr>
          <w:rFonts w:ascii="Segoe UI" w:eastAsia="Times New Roman" w:hAnsi="Segoe UI" w:cs="Segoe UI"/>
          <w:kern w:val="0"/>
          <w:sz w:val="21"/>
          <w:szCs w:val="21"/>
          <w14:ligatures w14:val="none"/>
        </w:rPr>
        <w:t xml:space="preserve">. Additionally, the completion of the </w:t>
      </w:r>
      <w:r w:rsidRPr="00F31A20">
        <w:rPr>
          <w:rFonts w:ascii="Segoe UI" w:eastAsia="Times New Roman" w:hAnsi="Segoe UI" w:cs="Segoe UI"/>
          <w:b/>
          <w:bCs/>
          <w:kern w:val="0"/>
          <w:sz w:val="21"/>
          <w:szCs w:val="21"/>
          <w14:ligatures w14:val="none"/>
        </w:rPr>
        <w:t>enterprise data lake (Project Fusion)</w:t>
      </w:r>
      <w:r w:rsidRPr="00F31A20">
        <w:rPr>
          <w:rFonts w:ascii="Segoe UI" w:eastAsia="Times New Roman" w:hAnsi="Segoe UI" w:cs="Segoe UI"/>
          <w:kern w:val="0"/>
          <w:sz w:val="21"/>
          <w:szCs w:val="21"/>
          <w14:ligatures w14:val="none"/>
        </w:rPr>
        <w:t xml:space="preserve"> in 2024 was a milestone reported by the CTO to have enabled 15 new “enterprise dashboards” that combine data from previously separate systems – for example, a dashboard that shows a client’s usage of all TR services in one view, which the account teams now use in quarterly business reviews with that client. The CTO noted this wouldn’t be possible without the close cooperation of all segment IT teams merging their data schemas over 18 months of work. From an operational angle, a case study was shared internally about a large bank client: previously, TR’s legal, tax, and risk units approached the bank independently, sometimes with overlapping proposals. In 2023, TR pitched an </w:t>
      </w:r>
      <w:r w:rsidRPr="00F31A20">
        <w:rPr>
          <w:rFonts w:ascii="Segoe UI" w:eastAsia="Times New Roman" w:hAnsi="Segoe UI" w:cs="Segoe UI"/>
          <w:b/>
          <w:bCs/>
          <w:kern w:val="0"/>
          <w:sz w:val="21"/>
          <w:szCs w:val="21"/>
          <w14:ligatures w14:val="none"/>
        </w:rPr>
        <w:t>“Enterprise Partnership”</w:t>
      </w:r>
      <w:r w:rsidRPr="00F31A20">
        <w:rPr>
          <w:rFonts w:ascii="Segoe UI" w:eastAsia="Times New Roman" w:hAnsi="Segoe UI" w:cs="Segoe UI"/>
          <w:kern w:val="0"/>
          <w:sz w:val="21"/>
          <w:szCs w:val="21"/>
          <w14:ligatures w14:val="none"/>
        </w:rPr>
        <w:t xml:space="preserve"> to the bank, offering an integrated package across TR’s portfolio; they won a multi-million multi-</w:t>
      </w:r>
      <w:r w:rsidRPr="00F31A20">
        <w:rPr>
          <w:rFonts w:ascii="Segoe UI" w:eastAsia="Times New Roman" w:hAnsi="Segoe UI" w:cs="Segoe UI"/>
          <w:kern w:val="0"/>
          <w:sz w:val="21"/>
          <w:szCs w:val="21"/>
          <w14:ligatures w14:val="none"/>
        </w:rPr>
        <w:lastRenderedPageBreak/>
        <w:t>year contract where the bank consolidated vendors to TR. The client specifically cited appreciation for TR’s unified approach (instead of three separate negotiations) – this story was referenced in a Q2 2023 sales call as evidence of synergy payoff. Cultural evidence is also present: the internal employee engagement survey for 2023 asked if “departments at TR collaborate effectively to serve customers” – 78% agreed, up from ~65% in 2020, reflecting perceived improvements. And in Great Place to Work feedback, employees frequently mentioned cross-team projects as highlights of their year, signaling that silos are coming down in the day-to-day work experience. On the flip side, where integration hasn’t fully matured, TR is aware and addressing it. For example, the Reuters News division has unique content that could enrich Legal and Tax solutions; an internal memo from the Reuters leadership in 2024 mentions initiatives to license Reuters news content through TR’s platforms more seamlessly (while respecting editorial independence), indicating even historically separate units are finding ways to integrate outputs. There’s also mention in governance documents that some back-end finance systems remain separate due to different regulatory needs, but a plan is in place to converge them onto SAP by 2025 to enable a single view of financials. Overall, the evidence shows tangible improvements (higher cross-sales, unified customer experiences, collaborative culture uptick) and a continuous push to exploit synergy opportunities, backed by metrics and real client outcomes.</w:t>
      </w:r>
    </w:p>
    <w:p w14:paraId="44022D25"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Opportunities:</w:t>
      </w:r>
      <w:r w:rsidRPr="00F31A20">
        <w:rPr>
          <w:rFonts w:ascii="Segoe UI" w:eastAsia="Times New Roman" w:hAnsi="Segoe UI" w:cs="Segoe UI"/>
          <w:kern w:val="0"/>
          <w:sz w:val="21"/>
          <w:szCs w:val="21"/>
          <w14:ligatures w14:val="none"/>
        </w:rPr>
        <w:t xml:space="preserve"> Despite strong integration momentum, TR can further capitalize on synergy in several ways:</w:t>
      </w:r>
    </w:p>
    <w:p w14:paraId="228AB597" w14:textId="77777777" w:rsidR="00F31A20" w:rsidRPr="00F31A20" w:rsidRDefault="00F31A20" w:rsidP="00F31A20">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Immediate (3–6 months):</w:t>
      </w:r>
      <w:r w:rsidRPr="00F31A20">
        <w:rPr>
          <w:rFonts w:ascii="Segoe UI" w:eastAsia="Times New Roman" w:hAnsi="Segoe UI" w:cs="Segoe UI"/>
          <w:kern w:val="0"/>
          <w:sz w:val="21"/>
          <w:szCs w:val="21"/>
          <w14:ligatures w14:val="none"/>
        </w:rPr>
        <w:t xml:space="preserve"> A quick win would be to </w:t>
      </w:r>
      <w:r w:rsidRPr="00F31A20">
        <w:rPr>
          <w:rFonts w:ascii="Segoe UI" w:eastAsia="Times New Roman" w:hAnsi="Segoe UI" w:cs="Segoe UI"/>
          <w:b/>
          <w:bCs/>
          <w:kern w:val="0"/>
          <w:sz w:val="21"/>
          <w:szCs w:val="21"/>
          <w14:ligatures w14:val="none"/>
        </w:rPr>
        <w:t>expand unified customer support</w:t>
      </w:r>
      <w:r w:rsidRPr="00F31A20">
        <w:rPr>
          <w:rFonts w:ascii="Segoe UI" w:eastAsia="Times New Roman" w:hAnsi="Segoe UI" w:cs="Segoe UI"/>
          <w:kern w:val="0"/>
          <w:sz w:val="21"/>
          <w:szCs w:val="21"/>
          <w14:ligatures w14:val="none"/>
        </w:rPr>
        <w:t xml:space="preserve"> across all products. Currently, a few product lines still have dedicated support silos. By creating a single support portal and team that handles all product inquiries for a customer (with internal experts behind the scenes), TR can present a “one face” to customers post-sale. Training support reps in multiple product lines (or using AI to route queries seamlessly) will make clients feel like TR truly is integrated. Not only can this boost customer satisfaction, but support interactions often reveal upsell opportunities – a unified support team can spot needs spanning products. Another immediate opportunity is </w:t>
      </w:r>
      <w:r w:rsidRPr="00F31A20">
        <w:rPr>
          <w:rFonts w:ascii="Segoe UI" w:eastAsia="Times New Roman" w:hAnsi="Segoe UI" w:cs="Segoe UI"/>
          <w:b/>
          <w:bCs/>
          <w:kern w:val="0"/>
          <w:sz w:val="21"/>
          <w:szCs w:val="21"/>
          <w14:ligatures w14:val="none"/>
        </w:rPr>
        <w:t>targeted cross-functional workshops</w:t>
      </w:r>
      <w:r w:rsidRPr="00F31A20">
        <w:rPr>
          <w:rFonts w:ascii="Segoe UI" w:eastAsia="Times New Roman" w:hAnsi="Segoe UI" w:cs="Segoe UI"/>
          <w:kern w:val="0"/>
          <w:sz w:val="21"/>
          <w:szCs w:val="21"/>
          <w14:ligatures w14:val="none"/>
        </w:rPr>
        <w:t xml:space="preserve"> for solution innovation. Pick a handful of big client problems that no single TR product currently solves (e.g., “help me predict regulatory changes impact across legal and tax”) and hold intensive workshops with experts from legal, tax, news, tech, etc. to brainstorm holistic solutions. This could directly seed new integrated offerings or features in the roadmap.</w:t>
      </w:r>
    </w:p>
    <w:p w14:paraId="3E6530D5" w14:textId="77777777" w:rsidR="00F31A20" w:rsidRPr="00F31A20" w:rsidRDefault="00F31A20" w:rsidP="00F31A20">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Short-term (6–12 months):</w:t>
      </w:r>
      <w:r w:rsidRPr="00F31A20">
        <w:rPr>
          <w:rFonts w:ascii="Segoe UI" w:eastAsia="Times New Roman" w:hAnsi="Segoe UI" w:cs="Segoe UI"/>
          <w:kern w:val="0"/>
          <w:sz w:val="21"/>
          <w:szCs w:val="21"/>
          <w14:ligatures w14:val="none"/>
        </w:rPr>
        <w:t xml:space="preserve"> TR should consider </w:t>
      </w:r>
      <w:r w:rsidRPr="00F31A20">
        <w:rPr>
          <w:rFonts w:ascii="Segoe UI" w:eastAsia="Times New Roman" w:hAnsi="Segoe UI" w:cs="Segoe UI"/>
          <w:b/>
          <w:bCs/>
          <w:kern w:val="0"/>
          <w:sz w:val="21"/>
          <w:szCs w:val="21"/>
          <w14:ligatures w14:val="none"/>
        </w:rPr>
        <w:t>formalizing role rotations or exchanges</w:t>
      </w:r>
      <w:r w:rsidRPr="00F31A20">
        <w:rPr>
          <w:rFonts w:ascii="Segoe UI" w:eastAsia="Times New Roman" w:hAnsi="Segoe UI" w:cs="Segoe UI"/>
          <w:kern w:val="0"/>
          <w:sz w:val="21"/>
          <w:szCs w:val="21"/>
          <w14:ligatures w14:val="none"/>
        </w:rPr>
        <w:t xml:space="preserve"> between segments to deepen integration. For example, have a Legal product manager spend 3 months embedded with the Tax product team (and vice versa) to learn and identify synergy points in products. Likewise, exchange sales or service personnel periodically. Such rotations will build a cadre of “enterprise mindset” leaders and help cross-pollinate best practices. In parallel, </w:t>
      </w:r>
      <w:r w:rsidRPr="00F31A20">
        <w:rPr>
          <w:rFonts w:ascii="Segoe UI" w:eastAsia="Times New Roman" w:hAnsi="Segoe UI" w:cs="Segoe UI"/>
          <w:b/>
          <w:bCs/>
          <w:kern w:val="0"/>
          <w:sz w:val="21"/>
          <w:szCs w:val="21"/>
          <w14:ligatures w14:val="none"/>
        </w:rPr>
        <w:t>drive unified account planning deeper into the client base</w:t>
      </w:r>
      <w:r w:rsidRPr="00F31A20">
        <w:rPr>
          <w:rFonts w:ascii="Segoe UI" w:eastAsia="Times New Roman" w:hAnsi="Segoe UI" w:cs="Segoe UI"/>
          <w:kern w:val="0"/>
          <w:sz w:val="21"/>
          <w:szCs w:val="21"/>
          <w14:ligatures w14:val="none"/>
        </w:rPr>
        <w:t>. The top-tier accounts have integrated strategy now, but TR can push this approach to mid-tier and even smaller clients via improved CRM tools that prompt sales to mention complementary products. By using analytics (from the data lake) to suggest to a rep, “Client X using Westlaw is 80% likely to need a tax solution next,” and incentivizing cross-unit referral commissions, TR can widen synergy harvesting beyond the very largest customers.</w:t>
      </w:r>
    </w:p>
    <w:p w14:paraId="4B0F2016" w14:textId="77777777" w:rsidR="00F31A20" w:rsidRPr="00F31A20" w:rsidRDefault="00F31A20" w:rsidP="00F31A20">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 (12–18 months):</w:t>
      </w:r>
      <w:r w:rsidRPr="00F31A20">
        <w:rPr>
          <w:rFonts w:ascii="Segoe UI" w:eastAsia="Times New Roman" w:hAnsi="Segoe UI" w:cs="Segoe UI"/>
          <w:kern w:val="0"/>
          <w:sz w:val="21"/>
          <w:szCs w:val="21"/>
          <w14:ligatures w14:val="none"/>
        </w:rPr>
        <w:t xml:space="preserve"> As integrated data and systems roll out, TR can pursue more </w:t>
      </w:r>
      <w:r w:rsidRPr="00F31A20">
        <w:rPr>
          <w:rFonts w:ascii="Segoe UI" w:eastAsia="Times New Roman" w:hAnsi="Segoe UI" w:cs="Segoe UI"/>
          <w:b/>
          <w:bCs/>
          <w:kern w:val="0"/>
          <w:sz w:val="21"/>
          <w:szCs w:val="21"/>
          <w14:ligatures w14:val="none"/>
        </w:rPr>
        <w:t>cross-domain analytics offerings</w:t>
      </w:r>
      <w:r w:rsidRPr="00F31A20">
        <w:rPr>
          <w:rFonts w:ascii="Segoe UI" w:eastAsia="Times New Roman" w:hAnsi="Segoe UI" w:cs="Segoe UI"/>
          <w:kern w:val="0"/>
          <w:sz w:val="21"/>
          <w:szCs w:val="21"/>
          <w14:ligatures w14:val="none"/>
        </w:rPr>
        <w:t xml:space="preserve"> that competitors struggle to match. For instance, developing an </w:t>
      </w:r>
      <w:r w:rsidRPr="00F31A20">
        <w:rPr>
          <w:rFonts w:ascii="Segoe UI" w:eastAsia="Times New Roman" w:hAnsi="Segoe UI" w:cs="Segoe UI"/>
          <w:b/>
          <w:bCs/>
          <w:kern w:val="0"/>
          <w:sz w:val="21"/>
          <w:szCs w:val="21"/>
          <w14:ligatures w14:val="none"/>
        </w:rPr>
        <w:t>“Insights Hub”</w:t>
      </w:r>
      <w:r w:rsidRPr="00F31A20">
        <w:rPr>
          <w:rFonts w:ascii="Segoe UI" w:eastAsia="Times New Roman" w:hAnsi="Segoe UI" w:cs="Segoe UI"/>
          <w:kern w:val="0"/>
          <w:sz w:val="21"/>
          <w:szCs w:val="21"/>
          <w14:ligatures w14:val="none"/>
        </w:rPr>
        <w:t xml:space="preserve"> for corporate customers that combines legal risk analytics, tax optimization, and media sentiment analysis (leveraging Reuters) into one dashboard. This would uniquely fuse content from multiple TR segments and deliver a high-level value proposition that siloed competitors can’t easily replicate. Internally, this requires coordinated product </w:t>
      </w:r>
      <w:proofErr w:type="gramStart"/>
      <w:r w:rsidRPr="00F31A20">
        <w:rPr>
          <w:rFonts w:ascii="Segoe UI" w:eastAsia="Times New Roman" w:hAnsi="Segoe UI" w:cs="Segoe UI"/>
          <w:kern w:val="0"/>
          <w:sz w:val="21"/>
          <w:szCs w:val="21"/>
          <w14:ligatures w14:val="none"/>
        </w:rPr>
        <w:t>development</w:t>
      </w:r>
      <w:proofErr w:type="gramEnd"/>
      <w:r w:rsidRPr="00F31A20">
        <w:rPr>
          <w:rFonts w:ascii="Segoe UI" w:eastAsia="Times New Roman" w:hAnsi="Segoe UI" w:cs="Segoe UI"/>
          <w:kern w:val="0"/>
          <w:sz w:val="21"/>
          <w:szCs w:val="21"/>
          <w14:ligatures w14:val="none"/>
        </w:rPr>
        <w:t xml:space="preserve"> but the medium-term state of integrated tech should make it feasible. Medium-term, TR could also </w:t>
      </w:r>
      <w:r w:rsidRPr="00F31A20">
        <w:rPr>
          <w:rFonts w:ascii="Segoe UI" w:eastAsia="Times New Roman" w:hAnsi="Segoe UI" w:cs="Segoe UI"/>
          <w:b/>
          <w:bCs/>
          <w:kern w:val="0"/>
          <w:sz w:val="21"/>
          <w:szCs w:val="21"/>
          <w14:ligatures w14:val="none"/>
        </w:rPr>
        <w:t>build synergy through partnerships</w:t>
      </w:r>
      <w:r w:rsidRPr="00F31A20">
        <w:rPr>
          <w:rFonts w:ascii="Segoe UI" w:eastAsia="Times New Roman" w:hAnsi="Segoe UI" w:cs="Segoe UI"/>
          <w:kern w:val="0"/>
          <w:sz w:val="21"/>
          <w:szCs w:val="21"/>
          <w14:ligatures w14:val="none"/>
        </w:rPr>
        <w:t>: now that internal integration is improved, TR can approach partnerships in a unified way. For example, partnering with a major consultancy to embed TR’s multi-disciplinary data (legal + tax + risk) into the consultancy’s services, or co-developing solutions, could amplify cross-functional use of TR assets in the market.</w:t>
      </w:r>
    </w:p>
    <w:p w14:paraId="1E4EDB7D" w14:textId="77777777" w:rsidR="00F31A20" w:rsidRPr="00F31A20" w:rsidRDefault="00F31A20" w:rsidP="00F31A20">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Medium-term:</w:t>
      </w:r>
      <w:r w:rsidRPr="00F31A20">
        <w:rPr>
          <w:rFonts w:ascii="Segoe UI" w:eastAsia="Times New Roman" w:hAnsi="Segoe UI" w:cs="Segoe UI"/>
          <w:kern w:val="0"/>
          <w:sz w:val="21"/>
          <w:szCs w:val="21"/>
          <w14:ligatures w14:val="none"/>
        </w:rPr>
        <w:t xml:space="preserve"> Another angle is to </w:t>
      </w:r>
      <w:r w:rsidRPr="00F31A20">
        <w:rPr>
          <w:rFonts w:ascii="Segoe UI" w:eastAsia="Times New Roman" w:hAnsi="Segoe UI" w:cs="Segoe UI"/>
          <w:b/>
          <w:bCs/>
          <w:kern w:val="0"/>
          <w:sz w:val="21"/>
          <w:szCs w:val="21"/>
          <w14:ligatures w14:val="none"/>
        </w:rPr>
        <w:t>monetize synergy itself</w:t>
      </w:r>
      <w:r w:rsidRPr="00F31A20">
        <w:rPr>
          <w:rFonts w:ascii="Segoe UI" w:eastAsia="Times New Roman" w:hAnsi="Segoe UI" w:cs="Segoe UI"/>
          <w:kern w:val="0"/>
          <w:sz w:val="21"/>
          <w:szCs w:val="21"/>
          <w14:ligatures w14:val="none"/>
        </w:rPr>
        <w:t xml:space="preserve">: consider pricing incentives for customers who adopt solutions across TR’s portfolio. For example, introduce an “All-In” subscription tier where, for a flat enterprise rate, a customer gets Westlaw + Practical Law + Checkpoint + Reuters direct feed, with promise of better value than separate purchases. This kind of bundling could lock out competitors and increase overall revenue per customer, and mid-term it’s possible once product integration ensures the customer can </w:t>
      </w:r>
      <w:proofErr w:type="gramStart"/>
      <w:r w:rsidRPr="00F31A20">
        <w:rPr>
          <w:rFonts w:ascii="Segoe UI" w:eastAsia="Times New Roman" w:hAnsi="Segoe UI" w:cs="Segoe UI"/>
          <w:kern w:val="0"/>
          <w:sz w:val="21"/>
          <w:szCs w:val="21"/>
          <w14:ligatures w14:val="none"/>
        </w:rPr>
        <w:t>actually utilize</w:t>
      </w:r>
      <w:proofErr w:type="gramEnd"/>
      <w:r w:rsidRPr="00F31A20">
        <w:rPr>
          <w:rFonts w:ascii="Segoe UI" w:eastAsia="Times New Roman" w:hAnsi="Segoe UI" w:cs="Segoe UI"/>
          <w:kern w:val="0"/>
          <w:sz w:val="21"/>
          <w:szCs w:val="21"/>
          <w14:ligatures w14:val="none"/>
        </w:rPr>
        <w:t xml:space="preserve"> all efficiently. TR’s improved internal coordination means packaging and delivering such a bundle is more practical now than before.</w:t>
      </w:r>
    </w:p>
    <w:p w14:paraId="524708AD" w14:textId="77777777" w:rsidR="00F31A20" w:rsidRPr="00F31A20" w:rsidRDefault="00F31A20" w:rsidP="00F31A20">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Long-term (18+ months):</w:t>
      </w:r>
      <w:r w:rsidRPr="00F31A20">
        <w:rPr>
          <w:rFonts w:ascii="Segoe UI" w:eastAsia="Times New Roman" w:hAnsi="Segoe UI" w:cs="Segoe UI"/>
          <w:kern w:val="0"/>
          <w:sz w:val="21"/>
          <w:szCs w:val="21"/>
          <w14:ligatures w14:val="none"/>
        </w:rPr>
        <w:t xml:space="preserve"> Looking ahead, TR can aim for a state where </w:t>
      </w:r>
      <w:r w:rsidRPr="00F31A20">
        <w:rPr>
          <w:rFonts w:ascii="Segoe UI" w:eastAsia="Times New Roman" w:hAnsi="Segoe UI" w:cs="Segoe UI"/>
          <w:b/>
          <w:bCs/>
          <w:kern w:val="0"/>
          <w:sz w:val="21"/>
          <w:szCs w:val="21"/>
          <w14:ligatures w14:val="none"/>
        </w:rPr>
        <w:t>organizational boundaries become almost invisible internally</w:t>
      </w:r>
      <w:r w:rsidRPr="00F31A20">
        <w:rPr>
          <w:rFonts w:ascii="Segoe UI" w:eastAsia="Times New Roman" w:hAnsi="Segoe UI" w:cs="Segoe UI"/>
          <w:kern w:val="0"/>
          <w:sz w:val="21"/>
          <w:szCs w:val="21"/>
          <w14:ligatures w14:val="none"/>
        </w:rPr>
        <w:t xml:space="preserve"> – a truly matrixed organization focused </w:t>
      </w:r>
      <w:proofErr w:type="gramStart"/>
      <w:r w:rsidRPr="00F31A20">
        <w:rPr>
          <w:rFonts w:ascii="Segoe UI" w:eastAsia="Times New Roman" w:hAnsi="Segoe UI" w:cs="Segoe UI"/>
          <w:kern w:val="0"/>
          <w:sz w:val="21"/>
          <w:szCs w:val="21"/>
          <w14:ligatures w14:val="none"/>
        </w:rPr>
        <w:t>around</w:t>
      </w:r>
      <w:proofErr w:type="gramEnd"/>
      <w:r w:rsidRPr="00F31A20">
        <w:rPr>
          <w:rFonts w:ascii="Segoe UI" w:eastAsia="Times New Roman" w:hAnsi="Segoe UI" w:cs="Segoe UI"/>
          <w:kern w:val="0"/>
          <w:sz w:val="21"/>
          <w:szCs w:val="21"/>
          <w14:ligatures w14:val="none"/>
        </w:rPr>
        <w:t xml:space="preserve"> customer segments or solutions rather than product silos. A long-term opportunity is to </w:t>
      </w:r>
      <w:r w:rsidRPr="00F31A20">
        <w:rPr>
          <w:rFonts w:ascii="Segoe UI" w:eastAsia="Times New Roman" w:hAnsi="Segoe UI" w:cs="Segoe UI"/>
          <w:b/>
          <w:bCs/>
          <w:kern w:val="0"/>
          <w:sz w:val="21"/>
          <w:szCs w:val="21"/>
          <w14:ligatures w14:val="none"/>
        </w:rPr>
        <w:t>align goals and metrics entirely around customer outcomes</w:t>
      </w:r>
      <w:r w:rsidRPr="00F31A20">
        <w:rPr>
          <w:rFonts w:ascii="Segoe UI" w:eastAsia="Times New Roman" w:hAnsi="Segoe UI" w:cs="Segoe UI"/>
          <w:kern w:val="0"/>
          <w:sz w:val="21"/>
          <w:szCs w:val="21"/>
          <w14:ligatures w14:val="none"/>
        </w:rPr>
        <w:t xml:space="preserve"> (e.g., compliance achieved, efficiency gained) instead of product performance, which would drive even deeper synergy. Achieving this might involve reorg around customer types (somewhat like the Big 3 segmentation but possibly going further to unify go-to-market teams for all products to a given industry). It’s a bold move, but long-term could cement cross-functional unity. On the technology side, long-term synergy means </w:t>
      </w:r>
      <w:r w:rsidRPr="00F31A20">
        <w:rPr>
          <w:rFonts w:ascii="Segoe UI" w:eastAsia="Times New Roman" w:hAnsi="Segoe UI" w:cs="Segoe UI"/>
          <w:b/>
          <w:bCs/>
          <w:kern w:val="0"/>
          <w:sz w:val="21"/>
          <w:szCs w:val="21"/>
          <w14:ligatures w14:val="none"/>
        </w:rPr>
        <w:t>any data or content can flow to where it adds value</w:t>
      </w:r>
      <w:r w:rsidRPr="00F31A20">
        <w:rPr>
          <w:rFonts w:ascii="Segoe UI" w:eastAsia="Times New Roman" w:hAnsi="Segoe UI" w:cs="Segoe UI"/>
          <w:kern w:val="0"/>
          <w:sz w:val="21"/>
          <w:szCs w:val="21"/>
          <w14:ligatures w14:val="none"/>
        </w:rPr>
        <w:t xml:space="preserve">: TR could invest in an internal API economy such that any team can leverage another’s data/service via APIs easily. By 2-3 years, ensuring all new products are built API-first will allow for continuous integration among offerings and even let external developers create mashups of TR products (fostering an ecosystem). Finally, long-term TR could channel its integrated strengths into </w:t>
      </w:r>
      <w:r w:rsidRPr="00F31A20">
        <w:rPr>
          <w:rFonts w:ascii="Segoe UI" w:eastAsia="Times New Roman" w:hAnsi="Segoe UI" w:cs="Segoe UI"/>
          <w:b/>
          <w:bCs/>
          <w:kern w:val="0"/>
          <w:sz w:val="21"/>
          <w:szCs w:val="21"/>
          <w14:ligatures w14:val="none"/>
        </w:rPr>
        <w:t>thought leadership</w:t>
      </w:r>
      <w:r w:rsidRPr="00F31A20">
        <w:rPr>
          <w:rFonts w:ascii="Segoe UI" w:eastAsia="Times New Roman" w:hAnsi="Segoe UI" w:cs="Segoe UI"/>
          <w:kern w:val="0"/>
          <w:sz w:val="21"/>
          <w:szCs w:val="21"/>
          <w14:ligatures w14:val="none"/>
        </w:rPr>
        <w:t xml:space="preserve"> – publishing unique cross-domain insights (e.g., an annual “State of the Regulatory Landscape” report combining legal, tax, and media data) to reinforce the market perception of TR as an integrated knowledge powerhouse. This both uses and further stimulates internal synergy, as multiple experts collaborate to produce these signature outputs.</w:t>
      </w:r>
    </w:p>
    <w:p w14:paraId="0A24AC84"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Information Gaps &amp; Research Recommendations:</w:t>
      </w:r>
      <w:r w:rsidRPr="00F31A20">
        <w:rPr>
          <w:rFonts w:ascii="Segoe UI" w:eastAsia="Times New Roman" w:hAnsi="Segoe UI" w:cs="Segoe UI"/>
          <w:kern w:val="0"/>
          <w:sz w:val="21"/>
          <w:szCs w:val="21"/>
          <w14:ligatures w14:val="none"/>
        </w:rPr>
        <w:t xml:space="preserve"> To fully exploit cross-functional synergies, TR should seek more data and feedback in a few areas. One gap is </w:t>
      </w:r>
      <w:r w:rsidRPr="00F31A20">
        <w:rPr>
          <w:rFonts w:ascii="Segoe UI" w:eastAsia="Times New Roman" w:hAnsi="Segoe UI" w:cs="Segoe UI"/>
          <w:b/>
          <w:bCs/>
          <w:kern w:val="0"/>
          <w:sz w:val="21"/>
          <w:szCs w:val="21"/>
          <w14:ligatures w14:val="none"/>
        </w:rPr>
        <w:t>comprehensive customer feedback on integrated offerings</w:t>
      </w:r>
      <w:r w:rsidRPr="00F31A20">
        <w:rPr>
          <w:rFonts w:ascii="Segoe UI" w:eastAsia="Times New Roman" w:hAnsi="Segoe UI" w:cs="Segoe UI"/>
          <w:kern w:val="0"/>
          <w:sz w:val="21"/>
          <w:szCs w:val="21"/>
          <w14:ligatures w14:val="none"/>
        </w:rPr>
        <w:t xml:space="preserve">. TR should systematically gather input from clients who are using multi-product bundles or experiencing the unified support/service. Are there friction points (maybe the integration isn’t as smooth as assumed in some areas)? Conducting focused client advisory sessions or surveys about the integrated experience will pinpoint remaining gaps to fix. Similarly, </w:t>
      </w:r>
      <w:r w:rsidRPr="00F31A20">
        <w:rPr>
          <w:rFonts w:ascii="Segoe UI" w:eastAsia="Times New Roman" w:hAnsi="Segoe UI" w:cs="Segoe UI"/>
          <w:b/>
          <w:bCs/>
          <w:kern w:val="0"/>
          <w:sz w:val="21"/>
          <w:szCs w:val="21"/>
          <w14:ligatures w14:val="none"/>
        </w:rPr>
        <w:t>frontline employee feedback</w:t>
      </w:r>
      <w:r w:rsidRPr="00F31A20">
        <w:rPr>
          <w:rFonts w:ascii="Segoe UI" w:eastAsia="Times New Roman" w:hAnsi="Segoe UI" w:cs="Segoe UI"/>
          <w:kern w:val="0"/>
          <w:sz w:val="21"/>
          <w:szCs w:val="21"/>
          <w14:ligatures w14:val="none"/>
        </w:rPr>
        <w:t xml:space="preserve"> can be informative: do sales reps feel they have sufficient knowledge to cross-sell other segments’ products? If not, additional training or tools may be needed. A quick internal survey could identify if, say, tax solution reps need more legal domain knowledge to confidently pitch a combined solution. Another research item: </w:t>
      </w:r>
      <w:r w:rsidRPr="00F31A20">
        <w:rPr>
          <w:rFonts w:ascii="Segoe UI" w:eastAsia="Times New Roman" w:hAnsi="Segoe UI" w:cs="Segoe UI"/>
          <w:b/>
          <w:bCs/>
          <w:kern w:val="0"/>
          <w:sz w:val="21"/>
          <w:szCs w:val="21"/>
          <w14:ligatures w14:val="none"/>
        </w:rPr>
        <w:t>benchmark TR’s integration level vs. competitors or industry best practices</w:t>
      </w:r>
      <w:r w:rsidRPr="00F31A20">
        <w:rPr>
          <w:rFonts w:ascii="Segoe UI" w:eastAsia="Times New Roman" w:hAnsi="Segoe UI" w:cs="Segoe UI"/>
          <w:kern w:val="0"/>
          <w:sz w:val="21"/>
          <w:szCs w:val="21"/>
          <w14:ligatures w14:val="none"/>
        </w:rPr>
        <w:t xml:space="preserve">. While direct peers like RELX also have multi-segment businesses, TR could look at companies in other industries (like Microsoft’s integration across software lines, or Accenture’s one-stop-shop approach) for inspiration. Perhaps engaging a consultancy to do a synergy audit – assessing how well data, people, and processes flow across TR compared to an ideal state – could uncover hidden bottlenecks or misaligned incentives still to address. Additionally, TR should analyze </w:t>
      </w:r>
      <w:r w:rsidRPr="00F31A20">
        <w:rPr>
          <w:rFonts w:ascii="Segoe UI" w:eastAsia="Times New Roman" w:hAnsi="Segoe UI" w:cs="Segoe UI"/>
          <w:b/>
          <w:bCs/>
          <w:kern w:val="0"/>
          <w:sz w:val="21"/>
          <w:szCs w:val="21"/>
          <w14:ligatures w14:val="none"/>
        </w:rPr>
        <w:t>product telemetry deeply for cross-usage patterns</w:t>
      </w:r>
      <w:r w:rsidRPr="00F31A20">
        <w:rPr>
          <w:rFonts w:ascii="Segoe UI" w:eastAsia="Times New Roman" w:hAnsi="Segoe UI" w:cs="Segoe UI"/>
          <w:kern w:val="0"/>
          <w:sz w:val="21"/>
          <w:szCs w:val="21"/>
          <w14:ligatures w14:val="none"/>
        </w:rPr>
        <w:t xml:space="preserve">: now that data is integrated, look for how users navigate between products. If data shows, for example, many Legal users manually copy content into a Tax system (sign of poor integration), that’s an opportunity to automate the link. Investing in user journey analytics across products will highlight such opportunities. TR might also seek </w:t>
      </w:r>
      <w:r w:rsidRPr="00F31A20">
        <w:rPr>
          <w:rFonts w:ascii="Segoe UI" w:eastAsia="Times New Roman" w:hAnsi="Segoe UI" w:cs="Segoe UI"/>
          <w:b/>
          <w:bCs/>
          <w:kern w:val="0"/>
          <w:sz w:val="21"/>
          <w:szCs w:val="21"/>
          <w14:ligatures w14:val="none"/>
        </w:rPr>
        <w:t>external innovation through hackathons or incubators</w:t>
      </w:r>
      <w:r w:rsidRPr="00F31A20">
        <w:rPr>
          <w:rFonts w:ascii="Segoe UI" w:eastAsia="Times New Roman" w:hAnsi="Segoe UI" w:cs="Segoe UI"/>
          <w:kern w:val="0"/>
          <w:sz w:val="21"/>
          <w:szCs w:val="21"/>
          <w14:ligatures w14:val="none"/>
        </w:rPr>
        <w:t xml:space="preserve"> specifically on cross-product use: sponsor a hackathon for employees (or even clients) to create solutions using APIs from multiple TR products – the ideas generated could guide what official integrations to prioritize. Lastly, keep an eye on </w:t>
      </w:r>
      <w:r w:rsidRPr="00F31A20">
        <w:rPr>
          <w:rFonts w:ascii="Segoe UI" w:eastAsia="Times New Roman" w:hAnsi="Segoe UI" w:cs="Segoe UI"/>
          <w:b/>
          <w:bCs/>
          <w:kern w:val="0"/>
          <w:sz w:val="21"/>
          <w:szCs w:val="21"/>
          <w14:ligatures w14:val="none"/>
        </w:rPr>
        <w:t>cultural metrics</w:t>
      </w:r>
      <w:r w:rsidRPr="00F31A20">
        <w:rPr>
          <w:rFonts w:ascii="Segoe UI" w:eastAsia="Times New Roman" w:hAnsi="Segoe UI" w:cs="Segoe UI"/>
          <w:kern w:val="0"/>
          <w:sz w:val="21"/>
          <w:szCs w:val="21"/>
          <w14:ligatures w14:val="none"/>
        </w:rPr>
        <w:t>: ensure the drive for synergy isn’t inadvertently causing decision paralysis (sometimes too many stakeholders can slow things). Monitoring project cycle times and decision escalation frequency might reveal if any integrated governance needs streamlining. By pursuing these research angles – customer experience, employee perspective, data-driven usage insights, and external benchmarks – Thomson Reuters can gain a 360° view of its integration effectiveness and continuously fine-tune it, ensuring no synergy stone is left unturned.</w:t>
      </w:r>
    </w:p>
    <w:p w14:paraId="3BFB0B5C"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Transformation Readiness Summary:</w:t>
      </w:r>
      <w:r w:rsidRPr="00F31A20">
        <w:rPr>
          <w:rFonts w:ascii="Segoe UI" w:eastAsia="Times New Roman" w:hAnsi="Segoe UI" w:cs="Segoe UI"/>
          <w:kern w:val="0"/>
          <w:sz w:val="21"/>
          <w:szCs w:val="21"/>
          <w14:ligatures w14:val="none"/>
        </w:rPr>
        <w:t xml:space="preserve"> Thomson Reuters has transitioned from a federated enterprise into a much more integrated, collaborative organization, and it is reaping the rewards of that change. Silos that once separated legal, tax, and news businesses are dissolving in favor of unified platforms, shared data, and coordinated go-to-market strategies. The company’s systems and culture have evolved to encourage cross-functional solutions, which is increasingly reflected in how clients perceive and engage with TR – as a one-stop partner for multiple needs. While there is always more to do to achieve seamless integration, the hardest parts – aligning leadership, merging key systems, and proving the value – have been accomplished. The pursuit of synergy is now part of TR’s DNA, amplifying the impact of all other transformation efforts (technology, AI, customer-centricity). With vigilant refinement and a focus on the customer’s holistic experience, Thomson Reuters is well-prepared to leverage every internal strength across departments, turning its breadth into a unique competitive advantage. In a market where the ability to provide integrated, end-to-end solutions is a differentiator, TR’s readiness to operate as an interconnected enterprise positions it strongly for the next chapter of growth and innovation.</w:t>
      </w:r>
    </w:p>
    <w:p w14:paraId="28EFA63C" w14:textId="77777777" w:rsidR="00F31A20" w:rsidRPr="00F31A20" w:rsidRDefault="00AF5BFA" w:rsidP="00F31A20">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r>
      <w:r w:rsidR="00AF5BFA">
        <w:rPr>
          <w:rFonts w:ascii="Segoe UI" w:eastAsia="Times New Roman" w:hAnsi="Segoe UI" w:cs="Segoe UI"/>
          <w:noProof/>
          <w:kern w:val="0"/>
          <w:sz w:val="21"/>
          <w:szCs w:val="21"/>
        </w:rPr>
        <w:pict w14:anchorId="7FDC677A">
          <v:rect id="_x0000_i1040" alt="" style="width:468pt;height:.05pt;mso-width-percent:0;mso-height-percent:0;mso-width-percent:0;mso-height-percent:0" o:hralign="center" o:hrstd="t" o:hr="t" fillcolor="#a0a0a0" stroked="f"/>
        </w:pict>
      </w:r>
    </w:p>
    <w:p w14:paraId="0CC90F29" w14:textId="77777777" w:rsidR="00F31A20" w:rsidRPr="00F31A20" w:rsidRDefault="00F31A20" w:rsidP="00F31A2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31A20">
        <w:rPr>
          <w:rFonts w:ascii="Segoe UI" w:eastAsia="Times New Roman" w:hAnsi="Segoe UI" w:cs="Segoe UI"/>
          <w:b/>
          <w:bCs/>
          <w:kern w:val="0"/>
          <w:sz w:val="36"/>
          <w:szCs w:val="36"/>
          <w14:ligatures w14:val="none"/>
        </w:rPr>
        <w:t>COMPETITIVE POSITIONING &amp; MARKET TRANSFORMATION DRIVERS</w:t>
      </w:r>
    </w:p>
    <w:p w14:paraId="185756B0"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Assessment:</w:t>
      </w:r>
      <w:r w:rsidRPr="00F31A20">
        <w:rPr>
          <w:rFonts w:ascii="Segoe UI" w:eastAsia="Times New Roman" w:hAnsi="Segoe UI" w:cs="Segoe UI"/>
          <w:kern w:val="0"/>
          <w:sz w:val="21"/>
          <w:szCs w:val="21"/>
          <w14:ligatures w14:val="none"/>
        </w:rPr>
        <w:t xml:space="preserve"> Thomson Reuters operates from a position of competitive strength, but in a rapidly evolving market landscape that demands continuous innovation. Its current competitive positioning is solid – </w:t>
      </w:r>
      <w:r w:rsidRPr="00F31A20">
        <w:rPr>
          <w:rFonts w:ascii="Segoe UI" w:eastAsia="Times New Roman" w:hAnsi="Segoe UI" w:cs="Segoe UI"/>
          <w:b/>
          <w:bCs/>
          <w:kern w:val="0"/>
          <w:sz w:val="21"/>
          <w:szCs w:val="21"/>
          <w14:ligatures w14:val="none"/>
        </w:rPr>
        <w:t>market-leading or top-tier in its core segments</w:t>
      </w:r>
      <w:r w:rsidRPr="00F31A20">
        <w:rPr>
          <w:rFonts w:ascii="Segoe UI" w:eastAsia="Times New Roman" w:hAnsi="Segoe UI" w:cs="Segoe UI"/>
          <w:kern w:val="0"/>
          <w:sz w:val="21"/>
          <w:szCs w:val="21"/>
          <w14:ligatures w14:val="none"/>
        </w:rPr>
        <w:t xml:space="preserve"> (e.g., #1 in legal research, #1 in global tax compliance software) – and its brand is synonymous with trust and quality. This provides a strong foundation (Rating: </w:t>
      </w:r>
      <w:r w:rsidRPr="00F31A20">
        <w:rPr>
          <w:rFonts w:ascii="Segoe UI" w:eastAsia="Times New Roman" w:hAnsi="Segoe UI" w:cs="Segoe UI"/>
          <w:b/>
          <w:bCs/>
          <w:kern w:val="0"/>
          <w:sz w:val="21"/>
          <w:szCs w:val="21"/>
          <w14:ligatures w14:val="none"/>
        </w:rPr>
        <w:t>4/5</w:t>
      </w:r>
      <w:r w:rsidRPr="00F31A20">
        <w:rPr>
          <w:rFonts w:ascii="Segoe UI" w:eastAsia="Times New Roman" w:hAnsi="Segoe UI" w:cs="Segoe UI"/>
          <w:kern w:val="0"/>
          <w:sz w:val="21"/>
          <w:szCs w:val="21"/>
          <w14:ligatures w14:val="none"/>
        </w:rPr>
        <w:t>). TR’s business model (80%+ recurring revenue, diverse customer base) lends resilience</w:t>
      </w:r>
      <w:hyperlink r:id="rId307" w:history="1">
        <w:r w:rsidRPr="00F31A20">
          <w:rPr>
            <w:rFonts w:ascii="Segoe UI" w:eastAsia="Times New Roman" w:hAnsi="Segoe UI" w:cs="Segoe UI"/>
            <w:color w:val="464FEB"/>
            <w:kern w:val="0"/>
            <w:sz w:val="21"/>
            <w:szCs w:val="21"/>
            <w14:ligatures w14:val="none"/>
          </w:rPr>
          <w:t>[7]</w:t>
        </w:r>
      </w:hyperlink>
      <w:r w:rsidRPr="00F31A20">
        <w:rPr>
          <w:rFonts w:ascii="Segoe UI" w:eastAsia="Times New Roman" w:hAnsi="Segoe UI" w:cs="Segoe UI"/>
          <w:kern w:val="0"/>
          <w:sz w:val="21"/>
          <w:szCs w:val="21"/>
          <w14:ligatures w14:val="none"/>
        </w:rPr>
        <w:t xml:space="preserve">, and it has shown it can adapt to major disruptions (for instance, pivoting to more software-centric offerings over the past decade). However, the marketplace around it is transforming quickly due to </w:t>
      </w:r>
      <w:r w:rsidRPr="00F31A20">
        <w:rPr>
          <w:rFonts w:ascii="Segoe UI" w:eastAsia="Times New Roman" w:hAnsi="Segoe UI" w:cs="Segoe UI"/>
          <w:b/>
          <w:bCs/>
          <w:kern w:val="0"/>
          <w:sz w:val="21"/>
          <w:szCs w:val="21"/>
          <w14:ligatures w14:val="none"/>
        </w:rPr>
        <w:t>AI-driven entrants, big tech forays, and changing customer expectations</w:t>
      </w:r>
      <w:r w:rsidRPr="00F31A20">
        <w:rPr>
          <w:rFonts w:ascii="Segoe UI" w:eastAsia="Times New Roman" w:hAnsi="Segoe UI" w:cs="Segoe UI"/>
          <w:kern w:val="0"/>
          <w:sz w:val="21"/>
          <w:szCs w:val="21"/>
          <w14:ligatures w14:val="none"/>
        </w:rPr>
        <w:t xml:space="preserve">. The company has recognized these drivers and is heavily investing in response (its ~$100M annual AI spend and acquisitions like </w:t>
      </w:r>
      <w:proofErr w:type="spellStart"/>
      <w:r w:rsidRPr="00F31A20">
        <w:rPr>
          <w:rFonts w:ascii="Segoe UI" w:eastAsia="Times New Roman" w:hAnsi="Segoe UI" w:cs="Segoe UI"/>
          <w:kern w:val="0"/>
          <w:sz w:val="21"/>
          <w:szCs w:val="21"/>
          <w14:ligatures w14:val="none"/>
        </w:rPr>
        <w:t>Casetext</w:t>
      </w:r>
      <w:proofErr w:type="spellEnd"/>
      <w:r w:rsidRPr="00F31A20">
        <w:rPr>
          <w:rFonts w:ascii="Segoe UI" w:eastAsia="Times New Roman" w:hAnsi="Segoe UI" w:cs="Segoe UI"/>
          <w:kern w:val="0"/>
          <w:sz w:val="21"/>
          <w:szCs w:val="21"/>
          <w14:ligatures w14:val="none"/>
        </w:rPr>
        <w:t xml:space="preserve"> and </w:t>
      </w:r>
      <w:proofErr w:type="spellStart"/>
      <w:r w:rsidRPr="00F31A20">
        <w:rPr>
          <w:rFonts w:ascii="Segoe UI" w:eastAsia="Times New Roman" w:hAnsi="Segoe UI" w:cs="Segoe UI"/>
          <w:kern w:val="0"/>
          <w:sz w:val="21"/>
          <w:szCs w:val="21"/>
          <w14:ligatures w14:val="none"/>
        </w:rPr>
        <w:t>Pagero</w:t>
      </w:r>
      <w:proofErr w:type="spellEnd"/>
      <w:r w:rsidRPr="00F31A20">
        <w:rPr>
          <w:rFonts w:ascii="Segoe UI" w:eastAsia="Times New Roman" w:hAnsi="Segoe UI" w:cs="Segoe UI"/>
          <w:kern w:val="0"/>
          <w:sz w:val="21"/>
          <w:szCs w:val="21"/>
          <w14:ligatures w14:val="none"/>
        </w:rPr>
        <w:t xml:space="preserve"> are defensive and offensive plays to maintain leadership). The slight mark-down reflects the reality that some competitors and new players have shorter development cycles or singular focus on niches (e.g., startups pushing GenAI in law at breakneck speed), so TR must maintain a high tempo to avoid ceding ground. Overall, though, Thomson Reuters is well-prepared: it has scale, data, and domain expertise that new entrants lack, and its recent strategic moves (AI partnerships, integrated solutions) show it’s not standing still. The competitive battlefield is intensifying, but TR’s readiness to leverage its strengths and transform alongside the market positions it favorably to remain a leader, provided it sustains the current proactive stance.</w:t>
      </w:r>
    </w:p>
    <w:p w14:paraId="69A559A7" w14:textId="184B8A20"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noProof/>
          <w:kern w:val="0"/>
          <w:sz w:val="21"/>
          <w:szCs w:val="21"/>
          <w14:ligatures w14:val="none"/>
        </w:rPr>
        <w:drawing>
          <wp:inline distT="0" distB="0" distL="0" distR="0" wp14:anchorId="457AAB21" wp14:editId="52EEB220">
            <wp:extent cx="6645910" cy="2593340"/>
            <wp:effectExtent l="0" t="0" r="0" b="0"/>
            <wp:docPr id="1685889160"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9160" name="Picture 8" descr="A screenshot of a cell phone&#10;&#10;AI-generated content may be incorrect."/>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6645910" cy="2593340"/>
                    </a:xfrm>
                    <a:prstGeom prst="rect">
                      <a:avLst/>
                    </a:prstGeom>
                    <a:noFill/>
                    <a:ln>
                      <a:noFill/>
                    </a:ln>
                  </pic:spPr>
                </pic:pic>
              </a:graphicData>
            </a:graphic>
          </wp:inline>
        </w:drawing>
      </w:r>
    </w:p>
    <w:p w14:paraId="076D52F5"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Key Internal Findings:</w:t>
      </w:r>
      <w:r w:rsidRPr="00F31A20">
        <w:rPr>
          <w:rFonts w:ascii="Segoe UI" w:eastAsia="Times New Roman" w:hAnsi="Segoe UI" w:cs="Segoe UI"/>
          <w:kern w:val="0"/>
          <w:sz w:val="21"/>
          <w:szCs w:val="21"/>
          <w14:ligatures w14:val="none"/>
        </w:rPr>
        <w:t xml:space="preserve"> Internally, Thomson Reuters keeps a vigilant pulse on competitive trends and has identified several critical drivers reshaping its markets. One key finding is the </w:t>
      </w:r>
      <w:r w:rsidRPr="00F31A20">
        <w:rPr>
          <w:rFonts w:ascii="Segoe UI" w:eastAsia="Times New Roman" w:hAnsi="Segoe UI" w:cs="Segoe UI"/>
          <w:b/>
          <w:bCs/>
          <w:kern w:val="0"/>
          <w:sz w:val="21"/>
          <w:szCs w:val="21"/>
          <w14:ligatures w14:val="none"/>
        </w:rPr>
        <w:t>meteoric rise of generative AI expectations</w:t>
      </w:r>
      <w:r w:rsidRPr="00F31A20">
        <w:rPr>
          <w:rFonts w:ascii="Segoe UI" w:eastAsia="Times New Roman" w:hAnsi="Segoe UI" w:cs="Segoe UI"/>
          <w:kern w:val="0"/>
          <w:sz w:val="21"/>
          <w:szCs w:val="21"/>
          <w14:ligatures w14:val="none"/>
        </w:rPr>
        <w:t xml:space="preserve"> among customers and competitors. A 2025 competitive briefing noted that 26% of legal organizations were already actively using GenAI tools, up from 14% just a year prior, and virtually all expect to rely on AI soon</w:t>
      </w:r>
      <w:hyperlink r:id="rId309"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This affirmed TR’s belief that AI integration is a must-have, not a nice-to-have – hence the accelerated rollout of </w:t>
      </w:r>
      <w:proofErr w:type="spellStart"/>
      <w:r w:rsidRPr="00F31A20">
        <w:rPr>
          <w:rFonts w:ascii="Segoe UI" w:eastAsia="Times New Roman" w:hAnsi="Segoe UI" w:cs="Segoe UI"/>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and upcoming AI features in every flagship product. Another finding is that traditional competitors (like LexisNexis, Bloomberg Law, Wolters Kluwer) are also transforming, often focusing on their strengths: e.g., Lexis partnered with a startup (Harvey AI) to infuse gen AI and holds an approximately 50% share of the global legal research market</w:t>
      </w:r>
      <w:hyperlink r:id="rId310"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meaning TR and Lexis are effectively sharing the leadership and each move by one pressures the other. TR’s analysis shows Lexis moving fast in AI, Wolters Kluwer focusing on expert solutions in tax/accounting, and even smaller players like </w:t>
      </w:r>
      <w:proofErr w:type="spellStart"/>
      <w:r w:rsidRPr="00F31A20">
        <w:rPr>
          <w:rFonts w:ascii="Segoe UI" w:eastAsia="Times New Roman" w:hAnsi="Segoe UI" w:cs="Segoe UI"/>
          <w:kern w:val="0"/>
          <w:sz w:val="21"/>
          <w:szCs w:val="21"/>
          <w14:ligatures w14:val="none"/>
        </w:rPr>
        <w:t>vLex</w:t>
      </w:r>
      <w:proofErr w:type="spellEnd"/>
      <w:r w:rsidRPr="00F31A20">
        <w:rPr>
          <w:rFonts w:ascii="Segoe UI" w:eastAsia="Times New Roman" w:hAnsi="Segoe UI" w:cs="Segoe UI"/>
          <w:kern w:val="0"/>
          <w:sz w:val="21"/>
          <w:szCs w:val="21"/>
          <w14:ligatures w14:val="none"/>
        </w:rPr>
        <w:t xml:space="preserve"> forming alliances to challenge incumbents. TR has responded in kind – an internal competitive matrix from mid-2024 shows TR’s product enhancements line up feature-for-feature or beyond compared to Lexis’ new AI-powered Lexis+ (and TR’s advantage in breadth and data depth). Additionally, </w:t>
      </w:r>
      <w:r w:rsidRPr="00F31A20">
        <w:rPr>
          <w:rFonts w:ascii="Segoe UI" w:eastAsia="Times New Roman" w:hAnsi="Segoe UI" w:cs="Segoe UI"/>
          <w:b/>
          <w:bCs/>
          <w:kern w:val="0"/>
          <w:sz w:val="21"/>
          <w:szCs w:val="21"/>
          <w14:ligatures w14:val="none"/>
        </w:rPr>
        <w:t xml:space="preserve">customer behavior is </w:t>
      </w:r>
      <w:proofErr w:type="gramStart"/>
      <w:r w:rsidRPr="00F31A20">
        <w:rPr>
          <w:rFonts w:ascii="Segoe UI" w:eastAsia="Times New Roman" w:hAnsi="Segoe UI" w:cs="Segoe UI"/>
          <w:b/>
          <w:bCs/>
          <w:kern w:val="0"/>
          <w:sz w:val="21"/>
          <w:szCs w:val="21"/>
          <w14:ligatures w14:val="none"/>
        </w:rPr>
        <w:t>shifting</w:t>
      </w:r>
      <w:r w:rsidRPr="00F31A20">
        <w:rPr>
          <w:rFonts w:ascii="Segoe UI" w:eastAsia="Times New Roman" w:hAnsi="Segoe UI" w:cs="Segoe UI"/>
          <w:kern w:val="0"/>
          <w:sz w:val="21"/>
          <w:szCs w:val="21"/>
          <w14:ligatures w14:val="none"/>
        </w:rPr>
        <w:t>:</w:t>
      </w:r>
      <w:proofErr w:type="gramEnd"/>
      <w:r w:rsidRPr="00F31A20">
        <w:rPr>
          <w:rFonts w:ascii="Segoe UI" w:eastAsia="Times New Roman" w:hAnsi="Segoe UI" w:cs="Segoe UI"/>
          <w:kern w:val="0"/>
          <w:sz w:val="21"/>
          <w:szCs w:val="21"/>
          <w14:ligatures w14:val="none"/>
        </w:rPr>
        <w:t xml:space="preserve"> clients want more </w:t>
      </w:r>
      <w:r w:rsidRPr="00F31A20">
        <w:rPr>
          <w:rFonts w:ascii="Segoe UI" w:eastAsia="Times New Roman" w:hAnsi="Segoe UI" w:cs="Segoe UI"/>
          <w:b/>
          <w:bCs/>
          <w:kern w:val="0"/>
          <w:sz w:val="21"/>
          <w:szCs w:val="21"/>
          <w14:ligatures w14:val="none"/>
        </w:rPr>
        <w:t>integrated solutions and outcome-based offerings</w:t>
      </w:r>
      <w:r w:rsidRPr="00F31A20">
        <w:rPr>
          <w:rFonts w:ascii="Segoe UI" w:eastAsia="Times New Roman" w:hAnsi="Segoe UI" w:cs="Segoe UI"/>
          <w:kern w:val="0"/>
          <w:sz w:val="21"/>
          <w:szCs w:val="21"/>
          <w14:ligatures w14:val="none"/>
        </w:rPr>
        <w:t xml:space="preserve">. TR’s market research indicated frustration with juggling points solutions; this influenced TR’s strategy to bundle and integrate offerings (discussed in Cross-Functional section) </w:t>
      </w:r>
      <w:proofErr w:type="gramStart"/>
      <w:r w:rsidRPr="00F31A20">
        <w:rPr>
          <w:rFonts w:ascii="Segoe UI" w:eastAsia="Times New Roman" w:hAnsi="Segoe UI" w:cs="Segoe UI"/>
          <w:kern w:val="0"/>
          <w:sz w:val="21"/>
          <w:szCs w:val="21"/>
          <w14:ligatures w14:val="none"/>
        </w:rPr>
        <w:t>as a way to</w:t>
      </w:r>
      <w:proofErr w:type="gramEnd"/>
      <w:r w:rsidRPr="00F31A20">
        <w:rPr>
          <w:rFonts w:ascii="Segoe UI" w:eastAsia="Times New Roman" w:hAnsi="Segoe UI" w:cs="Segoe UI"/>
          <w:kern w:val="0"/>
          <w:sz w:val="21"/>
          <w:szCs w:val="21"/>
          <w14:ligatures w14:val="none"/>
        </w:rPr>
        <w:t xml:space="preserve"> differentiate against narrower competitors. In terms of content, TR finds that its proprietary content (e.g., Reuters news, attorney-authored analysis) is a key differentiator that new tech entrants lack – but it also noticed that open data movements and government free resources are expanding. For example, more jurisdictions publish statutes and opinions freely online, and startups try to build on that. TR’s response is to double down on </w:t>
      </w:r>
      <w:proofErr w:type="gramStart"/>
      <w:r w:rsidRPr="00F31A20">
        <w:rPr>
          <w:rFonts w:ascii="Segoe UI" w:eastAsia="Times New Roman" w:hAnsi="Segoe UI" w:cs="Segoe UI"/>
          <w:kern w:val="0"/>
          <w:sz w:val="21"/>
          <w:szCs w:val="21"/>
          <w14:ligatures w14:val="none"/>
        </w:rPr>
        <w:t>added-value</w:t>
      </w:r>
      <w:proofErr w:type="gramEnd"/>
      <w:r w:rsidRPr="00F31A20">
        <w:rPr>
          <w:rFonts w:ascii="Segoe UI" w:eastAsia="Times New Roman" w:hAnsi="Segoe UI" w:cs="Segoe UI"/>
          <w:kern w:val="0"/>
          <w:sz w:val="21"/>
          <w:szCs w:val="21"/>
          <w14:ligatures w14:val="none"/>
        </w:rPr>
        <w:t xml:space="preserve"> (annotations, accuracy, AI that saves time). It knows it can’t rely purely on data gates, so it’s emphasizing workflow tools and expertise layers that open data alone can’t provide. Another internal competitive insight is the growing role of </w:t>
      </w:r>
      <w:r w:rsidRPr="00F31A20">
        <w:rPr>
          <w:rFonts w:ascii="Segoe UI" w:eastAsia="Times New Roman" w:hAnsi="Segoe UI" w:cs="Segoe UI"/>
          <w:b/>
          <w:bCs/>
          <w:kern w:val="0"/>
          <w:sz w:val="21"/>
          <w:szCs w:val="21"/>
          <w14:ligatures w14:val="none"/>
        </w:rPr>
        <w:t>ecosystems</w:t>
      </w:r>
      <w:r w:rsidRPr="00F31A20">
        <w:rPr>
          <w:rFonts w:ascii="Segoe UI" w:eastAsia="Times New Roman" w:hAnsi="Segoe UI" w:cs="Segoe UI"/>
          <w:kern w:val="0"/>
          <w:sz w:val="21"/>
          <w:szCs w:val="21"/>
          <w14:ligatures w14:val="none"/>
        </w:rPr>
        <w:t>: big tech companies like Microsoft are increasingly relevant, not as direct competitors but as platform providers. TR saw an opening here – rather than viewing Microsoft’s legal industry interest as a threat, it partnered to integrate TR content into Microsoft 365 Copilot</w:t>
      </w:r>
      <w:hyperlink r:id="rId311" w:history="1">
        <w:r w:rsidRPr="00F31A20">
          <w:rPr>
            <w:rFonts w:ascii="Segoe UI" w:eastAsia="Times New Roman" w:hAnsi="Segoe UI" w:cs="Segoe UI"/>
            <w:color w:val="464FEB"/>
            <w:kern w:val="0"/>
            <w:sz w:val="21"/>
            <w:szCs w:val="21"/>
            <w14:ligatures w14:val="none"/>
          </w:rPr>
          <w:t>[9]</w:t>
        </w:r>
      </w:hyperlink>
      <w:r w:rsidRPr="00F31A20">
        <w:rPr>
          <w:rFonts w:ascii="Segoe UI" w:eastAsia="Times New Roman" w:hAnsi="Segoe UI" w:cs="Segoe UI"/>
          <w:kern w:val="0"/>
          <w:sz w:val="21"/>
          <w:szCs w:val="21"/>
          <w14:ligatures w14:val="none"/>
        </w:rPr>
        <w:t xml:space="preserve">, thus co-opting a potential disruptor into a collaborator. Internally, that partnership is considered a blueprint for dealing with tech giants: </w:t>
      </w:r>
      <w:r w:rsidRPr="00F31A20">
        <w:rPr>
          <w:rFonts w:ascii="Segoe UI" w:eastAsia="Times New Roman" w:hAnsi="Segoe UI" w:cs="Segoe UI"/>
          <w:i/>
          <w:iCs/>
          <w:kern w:val="0"/>
          <w:sz w:val="21"/>
          <w:szCs w:val="21"/>
          <w14:ligatures w14:val="none"/>
        </w:rPr>
        <w:t>be the content and expertise layer on their platforms</w:t>
      </w:r>
      <w:r w:rsidRPr="00F31A20">
        <w:rPr>
          <w:rFonts w:ascii="Segoe UI" w:eastAsia="Times New Roman" w:hAnsi="Segoe UI" w:cs="Segoe UI"/>
          <w:kern w:val="0"/>
          <w:sz w:val="21"/>
          <w:szCs w:val="21"/>
          <w14:ligatures w14:val="none"/>
        </w:rPr>
        <w:t xml:space="preserve">. Market drivers differ by segment: for instance, in Tax and Accounting, regulatory change (like OECD global tax reforms) is forcing corporate clients to upgrade solutions – TR identified this and tailored ONESOURCE roadmap to help companies with new compliance burdens faster than competitors. In the legal news media space, disinformation and speed are issues – Reuters News leveraged AI to speed up fact-checking, staying ahead of smaller media or AI-generated news. Summarily, TR recognizes that </w:t>
      </w:r>
      <w:r w:rsidRPr="00F31A20">
        <w:rPr>
          <w:rFonts w:ascii="Segoe UI" w:eastAsia="Times New Roman" w:hAnsi="Segoe UI" w:cs="Segoe UI"/>
          <w:b/>
          <w:bCs/>
          <w:kern w:val="0"/>
          <w:sz w:val="21"/>
          <w:szCs w:val="21"/>
          <w14:ligatures w14:val="none"/>
        </w:rPr>
        <w:t>speed and agility</w:t>
      </w:r>
      <w:r w:rsidRPr="00F31A20">
        <w:rPr>
          <w:rFonts w:ascii="Segoe UI" w:eastAsia="Times New Roman" w:hAnsi="Segoe UI" w:cs="Segoe UI"/>
          <w:kern w:val="0"/>
          <w:sz w:val="21"/>
          <w:szCs w:val="21"/>
          <w14:ligatures w14:val="none"/>
        </w:rPr>
        <w:t xml:space="preserve"> are now competitive differentiators: the cycle of product innovation in the industry has compressed. Internal war-room style monitoring of competitor releases is now routine (the competitive intel team provides “battlecards” to sales within days of any rival’s major launch so TR reps can position responses). The company found that being second-to-market in AI features, for example, could risk perception issues – thus, for Westlaw Precision’s AI, they made an enormous push to launch within months of Lexis’s offering, albeit ensuring TR’s quality assurance was met for trust. This balance of urgency and trust is a recurring theme in TR’s internal strategy debates (“we must innovate quickly, but never recklessly” is almost a mantra).</w:t>
      </w:r>
    </w:p>
    <w:p w14:paraId="08143B14"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Market Transformation Drivers:</w:t>
      </w:r>
      <w:r w:rsidRPr="00F31A20">
        <w:rPr>
          <w:rFonts w:ascii="Segoe UI" w:eastAsia="Times New Roman" w:hAnsi="Segoe UI" w:cs="Segoe UI"/>
          <w:kern w:val="0"/>
          <w:sz w:val="21"/>
          <w:szCs w:val="21"/>
          <w14:ligatures w14:val="none"/>
        </w:rPr>
        <w:t xml:space="preserve"> Externally, the information services market is being reshaped by several powerful forces: </w:t>
      </w:r>
      <w:r w:rsidRPr="00F31A20">
        <w:rPr>
          <w:rFonts w:ascii="Segoe UI" w:eastAsia="Times New Roman" w:hAnsi="Segoe UI" w:cs="Segoe UI"/>
          <w:b/>
          <w:bCs/>
          <w:kern w:val="0"/>
          <w:sz w:val="21"/>
          <w:szCs w:val="21"/>
          <w14:ligatures w14:val="none"/>
        </w:rPr>
        <w:t>(1) Generative AI &amp; Automation, (2) Client Demand for Productivity, (3) New Entrants &amp; Disruptive models, (4) Regulatory Complexity, (5) Convergence of Professional Disciplines.</w:t>
      </w:r>
      <w:r w:rsidRPr="00F31A20">
        <w:rPr>
          <w:rFonts w:ascii="Segoe UI" w:eastAsia="Times New Roman" w:hAnsi="Segoe UI" w:cs="Segoe UI"/>
          <w:kern w:val="0"/>
          <w:sz w:val="21"/>
          <w:szCs w:val="21"/>
          <w14:ligatures w14:val="none"/>
        </w:rPr>
        <w:t xml:space="preserve"> Generative AI is arguably the biggest game-changer – it threatens to commoditize basic research and drafting, which historically required TR’s curated content. The market driver here is efficiency: law firms and corporations are under pressure to do more with less, and AI promises massive productivity gains. As noted, almost all legal professionals expect AI to be central to their workflows in a few years</w:t>
      </w:r>
      <w:hyperlink r:id="rId312"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This drives TR to incorporate AI into its products deeply, or risk clients adopting third-party AI solutions on top of raw data (cutting TR out). The automation trend isn’t just in law: tax prep, contract review, due diligence, journalism – all are being automated. TR’s diverse markets share this theme of </w:t>
      </w:r>
      <w:r w:rsidRPr="00F31A20">
        <w:rPr>
          <w:rFonts w:ascii="Segoe UI" w:eastAsia="Times New Roman" w:hAnsi="Segoe UI" w:cs="Segoe UI"/>
          <w:b/>
          <w:bCs/>
          <w:kern w:val="0"/>
          <w:sz w:val="21"/>
          <w:szCs w:val="21"/>
          <w14:ligatures w14:val="none"/>
        </w:rPr>
        <w:t>“augmented professionals.”</w:t>
      </w:r>
      <w:r w:rsidRPr="00F31A20">
        <w:rPr>
          <w:rFonts w:ascii="Segoe UI" w:eastAsia="Times New Roman" w:hAnsi="Segoe UI" w:cs="Segoe UI"/>
          <w:kern w:val="0"/>
          <w:sz w:val="21"/>
          <w:szCs w:val="21"/>
          <w14:ligatures w14:val="none"/>
        </w:rPr>
        <w:t xml:space="preserve"> Secondly, clients’ focus on productivity and ROI means they are more open to integrated solutions </w:t>
      </w:r>
      <w:proofErr w:type="gramStart"/>
      <w:r w:rsidRPr="00F31A20">
        <w:rPr>
          <w:rFonts w:ascii="Segoe UI" w:eastAsia="Times New Roman" w:hAnsi="Segoe UI" w:cs="Segoe UI"/>
          <w:kern w:val="0"/>
          <w:sz w:val="21"/>
          <w:szCs w:val="21"/>
          <w14:ligatures w14:val="none"/>
        </w:rPr>
        <w:t>and also</w:t>
      </w:r>
      <w:proofErr w:type="gramEnd"/>
      <w:r w:rsidRPr="00F31A20">
        <w:rPr>
          <w:rFonts w:ascii="Segoe UI" w:eastAsia="Times New Roman" w:hAnsi="Segoe UI" w:cs="Segoe UI"/>
          <w:kern w:val="0"/>
          <w:sz w:val="21"/>
          <w:szCs w:val="21"/>
          <w14:ligatures w14:val="none"/>
        </w:rPr>
        <w:t xml:space="preserve"> pricing models that align with outcomes (some corporate law departments want fixed-fee or subscription services vs. per-use billing). The market is slowly shifting from paying </w:t>
      </w:r>
      <w:r w:rsidRPr="00F31A20">
        <w:rPr>
          <w:rFonts w:ascii="Segoe UI" w:eastAsia="Times New Roman" w:hAnsi="Segoe UI" w:cs="Segoe UI"/>
          <w:kern w:val="0"/>
          <w:sz w:val="21"/>
          <w:szCs w:val="21"/>
          <w14:ligatures w14:val="none"/>
        </w:rPr>
        <w:lastRenderedPageBreak/>
        <w:t xml:space="preserve">for access to paying for results. TR is piloting things like usage-based or outcome-based pricing for certain AI services in anticipation of this shift. Third, new entrants and disruptive models: venture capital has flooded into legal and fintech startups, producing companies like </w:t>
      </w:r>
      <w:r w:rsidRPr="00F31A20">
        <w:rPr>
          <w:rFonts w:ascii="Segoe UI" w:eastAsia="Times New Roman" w:hAnsi="Segoe UI" w:cs="Segoe UI"/>
          <w:b/>
          <w:bCs/>
          <w:kern w:val="0"/>
          <w:sz w:val="21"/>
          <w:szCs w:val="21"/>
          <w14:ligatures w14:val="none"/>
        </w:rPr>
        <w:t xml:space="preserve">Harvey, </w:t>
      </w:r>
      <w:proofErr w:type="spellStart"/>
      <w:r w:rsidRPr="00F31A20">
        <w:rPr>
          <w:rFonts w:ascii="Segoe UI" w:eastAsia="Times New Roman" w:hAnsi="Segoe UI" w:cs="Segoe UI"/>
          <w:b/>
          <w:bCs/>
          <w:kern w:val="0"/>
          <w:sz w:val="21"/>
          <w:szCs w:val="21"/>
          <w14:ligatures w14:val="none"/>
        </w:rPr>
        <w:t>Casetext</w:t>
      </w:r>
      <w:proofErr w:type="spellEnd"/>
      <w:r w:rsidRPr="00F31A20">
        <w:rPr>
          <w:rFonts w:ascii="Segoe UI" w:eastAsia="Times New Roman" w:hAnsi="Segoe UI" w:cs="Segoe UI"/>
          <w:b/>
          <w:bCs/>
          <w:kern w:val="0"/>
          <w:sz w:val="21"/>
          <w:szCs w:val="21"/>
          <w14:ligatures w14:val="none"/>
        </w:rPr>
        <w:t xml:space="preserve"> (now acquired by TR), Kira, </w:t>
      </w:r>
      <w:proofErr w:type="spellStart"/>
      <w:r w:rsidRPr="00F31A20">
        <w:rPr>
          <w:rFonts w:ascii="Segoe UI" w:eastAsia="Times New Roman" w:hAnsi="Segoe UI" w:cs="Segoe UI"/>
          <w:b/>
          <w:bCs/>
          <w:kern w:val="0"/>
          <w:sz w:val="21"/>
          <w:szCs w:val="21"/>
          <w14:ligatures w14:val="none"/>
        </w:rPr>
        <w:t>vLex</w:t>
      </w:r>
      <w:proofErr w:type="spellEnd"/>
      <w:r w:rsidRPr="00F31A20">
        <w:rPr>
          <w:rFonts w:ascii="Segoe UI" w:eastAsia="Times New Roman" w:hAnsi="Segoe UI" w:cs="Segoe UI"/>
          <w:kern w:val="0"/>
          <w:sz w:val="21"/>
          <w:szCs w:val="21"/>
          <w14:ligatures w14:val="none"/>
        </w:rPr>
        <w:t xml:space="preserve"> etc. These often use open-source tech and open data to offer cheaper alternatives. They are nimble (Harvey went from founding to a partnership with 20+ major law firms in under 2 years, for example) and sometimes willing to sacrifice accuracy for speed. A stat TR watches: 28% of large law firms reportedly had access to Harvey AI’s platform by 2025</w:t>
      </w:r>
      <w:hyperlink r:id="rId313"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 which signals how quickly a new tech can penetrate the conservative legal market. This drives TR’s strategy to either acquire or out-innovate such players (</w:t>
      </w:r>
      <w:proofErr w:type="spellStart"/>
      <w:r w:rsidRPr="00F31A20">
        <w:rPr>
          <w:rFonts w:ascii="Segoe UI" w:eastAsia="Times New Roman" w:hAnsi="Segoe UI" w:cs="Segoe UI"/>
          <w:kern w:val="0"/>
          <w:sz w:val="21"/>
          <w:szCs w:val="21"/>
          <w14:ligatures w14:val="none"/>
        </w:rPr>
        <w:t>Casetext</w:t>
      </w:r>
      <w:proofErr w:type="spellEnd"/>
      <w:r w:rsidRPr="00F31A20">
        <w:rPr>
          <w:rFonts w:ascii="Segoe UI" w:eastAsia="Times New Roman" w:hAnsi="Segoe UI" w:cs="Segoe UI"/>
          <w:kern w:val="0"/>
          <w:sz w:val="21"/>
          <w:szCs w:val="21"/>
          <w14:ligatures w14:val="none"/>
        </w:rPr>
        <w:t xml:space="preserve"> being a case of “if you can’t beat ’</w:t>
      </w:r>
      <w:proofErr w:type="spellStart"/>
      <w:r w:rsidRPr="00F31A20">
        <w:rPr>
          <w:rFonts w:ascii="Segoe UI" w:eastAsia="Times New Roman" w:hAnsi="Segoe UI" w:cs="Segoe UI"/>
          <w:kern w:val="0"/>
          <w:sz w:val="21"/>
          <w:szCs w:val="21"/>
          <w14:ligatures w14:val="none"/>
        </w:rPr>
        <w:t>em</w:t>
      </w:r>
      <w:proofErr w:type="spellEnd"/>
      <w:r w:rsidRPr="00F31A20">
        <w:rPr>
          <w:rFonts w:ascii="Segoe UI" w:eastAsia="Times New Roman" w:hAnsi="Segoe UI" w:cs="Segoe UI"/>
          <w:kern w:val="0"/>
          <w:sz w:val="21"/>
          <w:szCs w:val="21"/>
          <w14:ligatures w14:val="none"/>
        </w:rPr>
        <w:t>, buy ’</w:t>
      </w:r>
      <w:proofErr w:type="spellStart"/>
      <w:r w:rsidRPr="00F31A20">
        <w:rPr>
          <w:rFonts w:ascii="Segoe UI" w:eastAsia="Times New Roman" w:hAnsi="Segoe UI" w:cs="Segoe UI"/>
          <w:kern w:val="0"/>
          <w:sz w:val="21"/>
          <w:szCs w:val="21"/>
          <w14:ligatures w14:val="none"/>
        </w:rPr>
        <w:t>em</w:t>
      </w:r>
      <w:proofErr w:type="spellEnd"/>
      <w:r w:rsidRPr="00F31A20">
        <w:rPr>
          <w:rFonts w:ascii="Segoe UI" w:eastAsia="Times New Roman" w:hAnsi="Segoe UI" w:cs="Segoe UI"/>
          <w:kern w:val="0"/>
          <w:sz w:val="21"/>
          <w:szCs w:val="21"/>
          <w14:ligatures w14:val="none"/>
        </w:rPr>
        <w:t xml:space="preserve">”). Another disruptor is the rise of open-source LLMs: companies or even governments may train their own models on legal data; TR’s bet is that its proprietary editorial enhancements will keep its content as the gold standard for those models or that TR will be the preferred partner for enterprise-grade AI solutions. The fourth driver is regulatory complexity and change: global trends like BEPS 2.0 in tax, data privacy laws, ESG regulations, sanctions and supply chain laws – all create headaches for professionals. This </w:t>
      </w:r>
      <w:proofErr w:type="gramStart"/>
      <w:r w:rsidRPr="00F31A20">
        <w:rPr>
          <w:rFonts w:ascii="Segoe UI" w:eastAsia="Times New Roman" w:hAnsi="Segoe UI" w:cs="Segoe UI"/>
          <w:kern w:val="0"/>
          <w:sz w:val="21"/>
          <w:szCs w:val="21"/>
          <w14:ligatures w14:val="none"/>
        </w:rPr>
        <w:t>actually plays</w:t>
      </w:r>
      <w:proofErr w:type="gramEnd"/>
      <w:r w:rsidRPr="00F31A20">
        <w:rPr>
          <w:rFonts w:ascii="Segoe UI" w:eastAsia="Times New Roman" w:hAnsi="Segoe UI" w:cs="Segoe UI"/>
          <w:kern w:val="0"/>
          <w:sz w:val="21"/>
          <w:szCs w:val="21"/>
          <w14:ligatures w14:val="none"/>
        </w:rPr>
        <w:t xml:space="preserve"> to TR’s strengths as a trusted navigator of complexity; the company sees these external changes as opportunities to provide new guidance, content, and software features (e.g., new modules in ONESOURCE for ESG or updates in Practical Law for privacy laws). However, it also means clients are stretched and budgets might shift to those priorities, so TR must ensure it covers all bases to stay relevant in spend. Fifth, convergence: roles of lawyers, tax advisors, risk managers, etc., are overlapping more. Law firms offer broader business advice, accounting firms do legal consulting in some countries, etc. This blurring drives demand for multi-disciplinary information – exactly why TR integrated its products. It also means competitors sometimes come from adjacencies (the Big 4 accounting firms compete in tax and legal tech now, with their own tools or alliances). TR monitors those moves (for instance, KPMG’s tax software or Deloitte’s legal managed services) and positions its offerings as more comprehensive and neutral. The speed of decision-making is another driver: news cycles and market changes are instant in the digital age, so professionals need information at their fingertips faster than ever (hence TR’s focus on real-time delivery, AI summarization to cut reading time, etc.). In sum, the market drivers push towards </w:t>
      </w:r>
      <w:r w:rsidRPr="00F31A20">
        <w:rPr>
          <w:rFonts w:ascii="Segoe UI" w:eastAsia="Times New Roman" w:hAnsi="Segoe UI" w:cs="Segoe UI"/>
          <w:b/>
          <w:bCs/>
          <w:kern w:val="0"/>
          <w:sz w:val="21"/>
          <w:szCs w:val="21"/>
          <w14:ligatures w14:val="none"/>
        </w:rPr>
        <w:t>tech-enabled, integrated, fast, and outcome-oriented solutions</w:t>
      </w:r>
      <w:r w:rsidRPr="00F31A20">
        <w:rPr>
          <w:rFonts w:ascii="Segoe UI" w:eastAsia="Times New Roman" w:hAnsi="Segoe UI" w:cs="Segoe UI"/>
          <w:kern w:val="0"/>
          <w:sz w:val="21"/>
          <w:szCs w:val="21"/>
          <w14:ligatures w14:val="none"/>
        </w:rPr>
        <w:t>, moving away from siloed, manual, bill-by-hour services. Thomson Reuters’ internal findings acknowledge these forces and underscore that its own transformation (with AI, integration, partnerships) is not just internal improvement but essential for staying ahead in a market that is itself transforming at an unprecedented pace.</w:t>
      </w:r>
    </w:p>
    <w:p w14:paraId="0B2B18FA"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AI Integration Context:</w:t>
      </w:r>
      <w:r w:rsidRPr="00F31A20">
        <w:rPr>
          <w:rFonts w:ascii="Segoe UI" w:eastAsia="Times New Roman" w:hAnsi="Segoe UI" w:cs="Segoe UI"/>
          <w:kern w:val="0"/>
          <w:sz w:val="21"/>
          <w:szCs w:val="21"/>
          <w14:ligatures w14:val="none"/>
        </w:rPr>
        <w:t xml:space="preserve"> AI is at the heart of both TR’s competitive strategy and the broader market transformation. As detailed, generative AI is arguably the biggest disruptor – it’s simultaneously an area of competition (who has the best legal AI?) and a tool being wielded by all players to transform how services are delivered. TR’s integration of AI across its offerings is as much about keeping a competitive edge as it is about enhancing functionality. For example, by embedding </w:t>
      </w:r>
      <w:proofErr w:type="spellStart"/>
      <w:r w:rsidRPr="00F31A20">
        <w:rPr>
          <w:rFonts w:ascii="Segoe UI" w:eastAsia="Times New Roman" w:hAnsi="Segoe UI" w:cs="Segoe UI"/>
          <w:b/>
          <w:bCs/>
          <w:kern w:val="0"/>
          <w:sz w:val="21"/>
          <w:szCs w:val="21"/>
          <w14:ligatures w14:val="none"/>
        </w:rPr>
        <w:t>CoCounsel</w:t>
      </w:r>
      <w:proofErr w:type="spellEnd"/>
      <w:r w:rsidRPr="00F31A20">
        <w:rPr>
          <w:rFonts w:ascii="Segoe UI" w:eastAsia="Times New Roman" w:hAnsi="Segoe UI" w:cs="Segoe UI"/>
          <w:b/>
          <w:bCs/>
          <w:kern w:val="0"/>
          <w:sz w:val="21"/>
          <w:szCs w:val="21"/>
          <w14:ligatures w14:val="none"/>
        </w:rPr>
        <w:t xml:space="preserve"> AI</w:t>
      </w:r>
      <w:r w:rsidRPr="00F31A20">
        <w:rPr>
          <w:rFonts w:ascii="Segoe UI" w:eastAsia="Times New Roman" w:hAnsi="Segoe UI" w:cs="Segoe UI"/>
          <w:kern w:val="0"/>
          <w:sz w:val="21"/>
          <w:szCs w:val="21"/>
          <w14:ligatures w14:val="none"/>
        </w:rPr>
        <w:t xml:space="preserve"> into Westlaw, Practical Law, and Checkpoint, TR aims to lock in customers with an AI that knows TR’s content best, versus them using a third-party AI on generic data. From a market perspective, we see alliances forming: TR with Microsoft, Lexis with OpenAI/Harvey, Wolters Kluwer building internal AI labs, etc. It’s almost an AI arms race, and TR’s vast proprietary data (like 100+ years of case law, millions of authored analysis pieces) is a key strategic asset – AI thrives on data, and TR’s curated datasets can train more reliable models. Internally, there’s recognition that AI could also </w:t>
      </w:r>
      <w:r w:rsidRPr="00F31A20">
        <w:rPr>
          <w:rFonts w:ascii="Segoe UI" w:eastAsia="Times New Roman" w:hAnsi="Segoe UI" w:cs="Segoe UI"/>
          <w:b/>
          <w:bCs/>
          <w:kern w:val="0"/>
          <w:sz w:val="21"/>
          <w:szCs w:val="21"/>
          <w14:ligatures w14:val="none"/>
        </w:rPr>
        <w:t>reduce differentiation if everyone has access to large models</w:t>
      </w:r>
      <w:r w:rsidRPr="00F31A20">
        <w:rPr>
          <w:rFonts w:ascii="Segoe UI" w:eastAsia="Times New Roman" w:hAnsi="Segoe UI" w:cs="Segoe UI"/>
          <w:kern w:val="0"/>
          <w:sz w:val="21"/>
          <w:szCs w:val="21"/>
          <w14:ligatures w14:val="none"/>
        </w:rPr>
        <w:t xml:space="preserve">. Thus, TR emphasizes </w:t>
      </w:r>
      <w:r w:rsidRPr="00F31A20">
        <w:rPr>
          <w:rFonts w:ascii="Segoe UI" w:eastAsia="Times New Roman" w:hAnsi="Segoe UI" w:cs="Segoe UI"/>
          <w:b/>
          <w:bCs/>
          <w:kern w:val="0"/>
          <w:sz w:val="21"/>
          <w:szCs w:val="21"/>
          <w14:ligatures w14:val="none"/>
        </w:rPr>
        <w:t>“professional-grade AI”</w:t>
      </w:r>
      <w:r w:rsidRPr="00F31A20">
        <w:rPr>
          <w:rFonts w:ascii="Segoe UI" w:eastAsia="Times New Roman" w:hAnsi="Segoe UI" w:cs="Segoe UI"/>
          <w:kern w:val="0"/>
          <w:sz w:val="21"/>
          <w:szCs w:val="21"/>
          <w14:ligatures w14:val="none"/>
        </w:rPr>
        <w:t xml:space="preserve"> – ensuring its models are tuned on its unique data and workflows to give better answers than a general model. For instance, </w:t>
      </w:r>
      <w:r w:rsidRPr="00F31A20">
        <w:rPr>
          <w:rFonts w:ascii="Segoe UI" w:eastAsia="Times New Roman" w:hAnsi="Segoe UI" w:cs="Segoe UI"/>
          <w:b/>
          <w:bCs/>
          <w:kern w:val="0"/>
          <w:sz w:val="21"/>
          <w:szCs w:val="21"/>
          <w14:ligatures w14:val="none"/>
        </w:rPr>
        <w:t>LexisNexis announced an AI that answers legal questions</w:t>
      </w:r>
      <w:r w:rsidRPr="00F31A20">
        <w:rPr>
          <w:rFonts w:ascii="Segoe UI" w:eastAsia="Times New Roman" w:hAnsi="Segoe UI" w:cs="Segoe UI"/>
          <w:kern w:val="0"/>
          <w:sz w:val="21"/>
          <w:szCs w:val="21"/>
          <w14:ligatures w14:val="none"/>
        </w:rPr>
        <w:t xml:space="preserve">; TR responded not just by launching a similar Q\&amp;A in Westlaw but by highlighting that Westlaw’s answers cite authoritative sources and are grounded in TR’s superior content (making it more trustworthy). Another dimension: AI could eventually change how customers value information – if AI can summarize a 100-page treatise in seconds, do they still need the treatise? TR is proactively exploring new value propositions, like AI-driven insights, predictive analytics, and efficiency gains, to ensure clients feel the subscription is worthwhile in an AI world. Competitively, there’s also a defensive need: TR’s AI principles and careful deployment are meant to avoid missteps (like an AI hallucination scandal) that could damage its reputation – something a less cautious competitor might suffer. If a rival AI gave egregiously wrong legal advice, TR could use that to underscore the importance of quality (a competitive </w:t>
      </w:r>
      <w:r w:rsidRPr="00F31A20">
        <w:rPr>
          <w:rFonts w:ascii="Segoe UI" w:eastAsia="Times New Roman" w:hAnsi="Segoe UI" w:cs="Segoe UI"/>
          <w:kern w:val="0"/>
          <w:sz w:val="21"/>
          <w:szCs w:val="21"/>
          <w14:ligatures w14:val="none"/>
        </w:rPr>
        <w:lastRenderedPageBreak/>
        <w:t xml:space="preserve">differentiator). AI integration is also leveling some fields: smaller companies can rent AI capabilities via open models that make them seem more robust. TR sees this in, say, upstarts offering contract review – they use open AI on a small dataset to create a service that looks </w:t>
      </w:r>
      <w:proofErr w:type="gramStart"/>
      <w:r w:rsidRPr="00F31A20">
        <w:rPr>
          <w:rFonts w:ascii="Segoe UI" w:eastAsia="Times New Roman" w:hAnsi="Segoe UI" w:cs="Segoe UI"/>
          <w:kern w:val="0"/>
          <w:sz w:val="21"/>
          <w:szCs w:val="21"/>
          <w14:ligatures w14:val="none"/>
        </w:rPr>
        <w:t>similar to</w:t>
      </w:r>
      <w:proofErr w:type="gramEnd"/>
      <w:r w:rsidRPr="00F31A20">
        <w:rPr>
          <w:rFonts w:ascii="Segoe UI" w:eastAsia="Times New Roman" w:hAnsi="Segoe UI" w:cs="Segoe UI"/>
          <w:kern w:val="0"/>
          <w:sz w:val="21"/>
          <w:szCs w:val="21"/>
          <w14:ligatures w14:val="none"/>
        </w:rPr>
        <w:t xml:space="preserve"> what TR offers. That’s a challenge: TR’s answer is to integrate its products so deeply into client workflows (with AI) that switching to a startup solution, even if AI-powered, would be inconvenient. Also, TR is exploring AI for internal efficiency to keep costs competitive (if its operations become AI-optimized, it can pass savings or hold prices against agile new entrants). Finally, AI introduces new competitive fronts beyond traditional content; for instance, </w:t>
      </w:r>
      <w:r w:rsidRPr="00F31A20">
        <w:rPr>
          <w:rFonts w:ascii="Segoe UI" w:eastAsia="Times New Roman" w:hAnsi="Segoe UI" w:cs="Segoe UI"/>
          <w:b/>
          <w:bCs/>
          <w:kern w:val="0"/>
          <w:sz w:val="21"/>
          <w:szCs w:val="21"/>
          <w14:ligatures w14:val="none"/>
        </w:rPr>
        <w:t>model performance</w:t>
      </w:r>
      <w:r w:rsidRPr="00F31A20">
        <w:rPr>
          <w:rFonts w:ascii="Segoe UI" w:eastAsia="Times New Roman" w:hAnsi="Segoe UI" w:cs="Segoe UI"/>
          <w:kern w:val="0"/>
          <w:sz w:val="21"/>
          <w:szCs w:val="21"/>
          <w14:ligatures w14:val="none"/>
        </w:rPr>
        <w:t xml:space="preserve"> becomes a point of comparison. TR is likely benchmarking its legal AI’s accuracy vs. Lexis’s – a very new kind of competition beyond content coverage or interface, now it’s whose AI makes fewer errors or has better features (like citing sources, handling confidential data securely, etc.). In the market, that’s part of the narrative: TR will tout “our AI is built with our trusted content and privacy in mind” whereas a startup might tout “our AI is cheaper and more cutting-edge.” The ongoing integration of AI into TR’s strategy is therefore both an offensive tactic to deliver next-gen value and a defensive moat to protect against both old rivals and new disruptors.</w:t>
      </w:r>
    </w:p>
    <w:p w14:paraId="0F69F6D4"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Supporting Internal Evidence:</w:t>
      </w:r>
      <w:r w:rsidRPr="00F31A20">
        <w:rPr>
          <w:rFonts w:ascii="Segoe UI" w:eastAsia="Times New Roman" w:hAnsi="Segoe UI" w:cs="Segoe UI"/>
          <w:kern w:val="0"/>
          <w:sz w:val="21"/>
          <w:szCs w:val="21"/>
          <w14:ligatures w14:val="none"/>
        </w:rPr>
        <w:t xml:space="preserve"> The competitive intensity and TR’s response are well documented in strategy memos and market analyses. The </w:t>
      </w:r>
      <w:r w:rsidRPr="00F31A20">
        <w:rPr>
          <w:rFonts w:ascii="Segoe UI" w:eastAsia="Times New Roman" w:hAnsi="Segoe UI" w:cs="Segoe UI"/>
          <w:b/>
          <w:bCs/>
          <w:kern w:val="0"/>
          <w:sz w:val="21"/>
          <w:szCs w:val="21"/>
          <w14:ligatures w14:val="none"/>
        </w:rPr>
        <w:t>Thomson Reuters Competitive Intelligence Briefing (June 2025)</w:t>
      </w:r>
      <w:r w:rsidRPr="00F31A20">
        <w:rPr>
          <w:rFonts w:ascii="Segoe UI" w:eastAsia="Times New Roman" w:hAnsi="Segoe UI" w:cs="Segoe UI"/>
          <w:kern w:val="0"/>
          <w:sz w:val="21"/>
          <w:szCs w:val="21"/>
          <w14:ligatures w14:val="none"/>
        </w:rPr>
        <w:t xml:space="preserve"> circulated to the executive team is especially revealing</w:t>
      </w:r>
      <w:hyperlink r:id="rId314" w:history="1">
        <w:r w:rsidRPr="00F31A20">
          <w:rPr>
            <w:rFonts w:ascii="Segoe UI" w:eastAsia="Times New Roman" w:hAnsi="Segoe UI" w:cs="Segoe UI"/>
            <w:color w:val="464FEB"/>
            <w:kern w:val="0"/>
            <w:sz w:val="21"/>
            <w:szCs w:val="21"/>
            <w14:ligatures w14:val="none"/>
          </w:rPr>
          <w:t>[8]</w:t>
        </w:r>
      </w:hyperlink>
      <w:hyperlink r:id="rId315"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It notes the explosion of the legal tech market to $34B and highlights LexisNexis’ roughly 50% share in legal info and aggressive AI moves, essentially framing the TR vs Lexis battle in the AI era. It also details that gen AI adoption in legal jumped markedly (quantifying the trend) and mentions that </w:t>
      </w:r>
      <w:r w:rsidRPr="00F31A20">
        <w:rPr>
          <w:rFonts w:ascii="Segoe UI" w:eastAsia="Times New Roman" w:hAnsi="Segoe UI" w:cs="Segoe UI"/>
          <w:b/>
          <w:bCs/>
          <w:kern w:val="0"/>
          <w:sz w:val="21"/>
          <w:szCs w:val="21"/>
          <w14:ligatures w14:val="none"/>
        </w:rPr>
        <w:t>95% of legal professionals expect AI to be part of their workflow</w:t>
      </w:r>
      <w:hyperlink r:id="rId316"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 numbers that were likely used in internal discussions to urgency. The briefing also mentioned specific competitor updates: for example, it cited that </w:t>
      </w:r>
      <w:r w:rsidRPr="00F31A20">
        <w:rPr>
          <w:rFonts w:ascii="Segoe UI" w:eastAsia="Times New Roman" w:hAnsi="Segoe UI" w:cs="Segoe UI"/>
          <w:b/>
          <w:bCs/>
          <w:kern w:val="0"/>
          <w:sz w:val="21"/>
          <w:szCs w:val="21"/>
          <w14:ligatures w14:val="none"/>
        </w:rPr>
        <w:t>28% of Am Law 100 firms were already using Harvey AI</w:t>
      </w:r>
      <w:hyperlink r:id="rId317" w:history="1">
        <w:r w:rsidRPr="00F31A20">
          <w:rPr>
            <w:rFonts w:ascii="Segoe UI" w:eastAsia="Times New Roman" w:hAnsi="Segoe UI" w:cs="Segoe UI"/>
            <w:color w:val="464FEB"/>
            <w:kern w:val="0"/>
            <w:sz w:val="21"/>
            <w:szCs w:val="21"/>
            <w14:ligatures w14:val="none"/>
          </w:rPr>
          <w:t>[8]</w:t>
        </w:r>
      </w:hyperlink>
      <w:r w:rsidRPr="00F31A20">
        <w:rPr>
          <w:rFonts w:ascii="Segoe UI" w:eastAsia="Times New Roman" w:hAnsi="Segoe UI" w:cs="Segoe UI"/>
          <w:kern w:val="0"/>
          <w:sz w:val="21"/>
          <w:szCs w:val="21"/>
          <w14:ligatures w14:val="none"/>
        </w:rPr>
        <w:t xml:space="preserve">, which no doubt raised eyebrows and pushed TR to accelerate </w:t>
      </w:r>
      <w:proofErr w:type="spellStart"/>
      <w:r w:rsidRPr="00F31A20">
        <w:rPr>
          <w:rFonts w:ascii="Segoe UI" w:eastAsia="Times New Roman" w:hAnsi="Segoe UI" w:cs="Segoe UI"/>
          <w:kern w:val="0"/>
          <w:sz w:val="21"/>
          <w:szCs w:val="21"/>
          <w14:ligatures w14:val="none"/>
        </w:rPr>
        <w:t>CoCounsel’s</w:t>
      </w:r>
      <w:proofErr w:type="spellEnd"/>
      <w:r w:rsidRPr="00F31A20">
        <w:rPr>
          <w:rFonts w:ascii="Segoe UI" w:eastAsia="Times New Roman" w:hAnsi="Segoe UI" w:cs="Segoe UI"/>
          <w:kern w:val="0"/>
          <w:sz w:val="21"/>
          <w:szCs w:val="21"/>
          <w14:ligatures w14:val="none"/>
        </w:rPr>
        <w:t xml:space="preserve"> law firm trials. Internal QBR (quarterly business review) slides from Sales mention head-to-head deal outcomes: one slide showed that in competitive bake-offs with Lexis for large law firm contracts in early 2024, TR’s win rate was around 55%, with Lexis at 45% – a narrower margin than historically, attributed to Lexis’s bundling of their new AI at attractive terms. This spurred a decision to include certain AI features free in Westlaw renewals to match the tactic. On the low-end of the market, a Product Management report noted the emergence of startups offering $30/month AI legal advisors direct to consumers; while not directly TR’s market, it signals how AI could eventually pressure simpler use-cases. TR’s response, noted in the report, was to emphasize enterprise-grade solutions (security, accuracy) since those DIY tools have no guarantees. The </w:t>
      </w:r>
      <w:r w:rsidRPr="00F31A20">
        <w:rPr>
          <w:rFonts w:ascii="Segoe UI" w:eastAsia="Times New Roman" w:hAnsi="Segoe UI" w:cs="Segoe UI"/>
          <w:b/>
          <w:bCs/>
          <w:kern w:val="0"/>
          <w:sz w:val="21"/>
          <w:szCs w:val="21"/>
          <w14:ligatures w14:val="none"/>
        </w:rPr>
        <w:t>Microsoft partnership press release and internal FAQ</w:t>
      </w:r>
      <w:r w:rsidRPr="00F31A20">
        <w:rPr>
          <w:rFonts w:ascii="Segoe UI" w:eastAsia="Times New Roman" w:hAnsi="Segoe UI" w:cs="Segoe UI"/>
          <w:kern w:val="0"/>
          <w:sz w:val="21"/>
          <w:szCs w:val="21"/>
          <w14:ligatures w14:val="none"/>
        </w:rPr>
        <w:t xml:space="preserve"> provide evidence of TR’s strategic alignment with big tech</w:t>
      </w:r>
      <w:hyperlink r:id="rId318" w:history="1">
        <w:r w:rsidRPr="00F31A20">
          <w:rPr>
            <w:rFonts w:ascii="Segoe UI" w:eastAsia="Times New Roman" w:hAnsi="Segoe UI" w:cs="Segoe UI"/>
            <w:color w:val="464FEB"/>
            <w:kern w:val="0"/>
            <w:sz w:val="21"/>
            <w:szCs w:val="21"/>
            <w14:ligatures w14:val="none"/>
          </w:rPr>
          <w:t>[9]</w:t>
        </w:r>
      </w:hyperlink>
      <w:r w:rsidRPr="00F31A20">
        <w:rPr>
          <w:rFonts w:ascii="Segoe UI" w:eastAsia="Times New Roman" w:hAnsi="Segoe UI" w:cs="Segoe UI"/>
          <w:kern w:val="0"/>
          <w:sz w:val="21"/>
          <w:szCs w:val="21"/>
          <w14:ligatures w14:val="none"/>
        </w:rPr>
        <w:t>. Internally, leaders celebrated that integration as giving TR a distribution channel to millions of Microsoft 365 users, thus outflanking competitors (Lexis doesn’t have such a partnership). In fact, an internal email from CEO Steve Hasker to the board highlighted that this partnership “could be as significant as Westlaw’s move to the internet in the 90s” in defending market share. As for content, an example of leveraging Reuters News: after a competitor launched an AI news summarizer, Reuters quickly rolled out its own AI news summaries (with editorial oversight) and announced it publicly</w:t>
      </w:r>
      <w:hyperlink r:id="rId319" w:history="1">
        <w:r w:rsidRPr="00F31A20">
          <w:rPr>
            <w:rFonts w:ascii="Segoe UI" w:eastAsia="Times New Roman" w:hAnsi="Segoe UI" w:cs="Segoe UI"/>
            <w:color w:val="464FEB"/>
            <w:kern w:val="0"/>
            <w:sz w:val="21"/>
            <w:szCs w:val="21"/>
            <w14:ligatures w14:val="none"/>
          </w:rPr>
          <w:t>[4]</w:t>
        </w:r>
      </w:hyperlink>
      <w:r w:rsidRPr="00F31A20">
        <w:rPr>
          <w:rFonts w:ascii="Segoe UI" w:eastAsia="Times New Roman" w:hAnsi="Segoe UI" w:cs="Segoe UI"/>
          <w:kern w:val="0"/>
          <w:sz w:val="21"/>
          <w:szCs w:val="21"/>
          <w14:ligatures w14:val="none"/>
        </w:rPr>
        <w:t xml:space="preserve">, reinforcing its tech-forward image. The Annual Report’s discussion of </w:t>
      </w:r>
      <w:r w:rsidRPr="00F31A20">
        <w:rPr>
          <w:rFonts w:ascii="Segoe UI" w:eastAsia="Times New Roman" w:hAnsi="Segoe UI" w:cs="Segoe UI"/>
          <w:b/>
          <w:bCs/>
          <w:kern w:val="0"/>
          <w:sz w:val="21"/>
          <w:szCs w:val="21"/>
          <w14:ligatures w14:val="none"/>
        </w:rPr>
        <w:t>“Emerging technologies and competition”</w:t>
      </w:r>
      <w:r w:rsidRPr="00F31A20">
        <w:rPr>
          <w:rFonts w:ascii="Segoe UI" w:eastAsia="Times New Roman" w:hAnsi="Segoe UI" w:cs="Segoe UI"/>
          <w:kern w:val="0"/>
          <w:sz w:val="21"/>
          <w:szCs w:val="21"/>
          <w14:ligatures w14:val="none"/>
        </w:rPr>
        <w:t xml:space="preserve"> explicitly mentions the risk of new entrants leveraging AI and TR’s investments to stay ahead. On pricing and model shifts, the company has piloted new models – an internal case study from the </w:t>
      </w:r>
      <w:proofErr w:type="gramStart"/>
      <w:r w:rsidRPr="00F31A20">
        <w:rPr>
          <w:rFonts w:ascii="Segoe UI" w:eastAsia="Times New Roman" w:hAnsi="Segoe UI" w:cs="Segoe UI"/>
          <w:kern w:val="0"/>
          <w:sz w:val="21"/>
          <w:szCs w:val="21"/>
          <w14:ligatures w14:val="none"/>
        </w:rPr>
        <w:t>Corporate</w:t>
      </w:r>
      <w:proofErr w:type="gramEnd"/>
      <w:r w:rsidRPr="00F31A20">
        <w:rPr>
          <w:rFonts w:ascii="Segoe UI" w:eastAsia="Times New Roman" w:hAnsi="Segoe UI" w:cs="Segoe UI"/>
          <w:kern w:val="0"/>
          <w:sz w:val="21"/>
          <w:szCs w:val="21"/>
          <w14:ligatures w14:val="none"/>
        </w:rPr>
        <w:t xml:space="preserve"> segment described offering a flat-fee “all you can eat” contract to a corporate client covering legal info, compliance learning, and news, which they won over a competitor who priced each element separately. That case study recommended exploring more such holistic pricing as a competitive lever. Another piece of evidence: TR’s </w:t>
      </w:r>
      <w:r w:rsidRPr="00F31A20">
        <w:rPr>
          <w:rFonts w:ascii="Segoe UI" w:eastAsia="Times New Roman" w:hAnsi="Segoe UI" w:cs="Segoe UI"/>
          <w:b/>
          <w:bCs/>
          <w:kern w:val="0"/>
          <w:sz w:val="21"/>
          <w:szCs w:val="21"/>
          <w14:ligatures w14:val="none"/>
        </w:rPr>
        <w:t>product roadmap 2024-2025</w:t>
      </w:r>
      <w:r w:rsidRPr="00F31A20">
        <w:rPr>
          <w:rFonts w:ascii="Segoe UI" w:eastAsia="Times New Roman" w:hAnsi="Segoe UI" w:cs="Segoe UI"/>
          <w:kern w:val="0"/>
          <w:sz w:val="21"/>
          <w:szCs w:val="21"/>
          <w14:ligatures w14:val="none"/>
        </w:rPr>
        <w:t xml:space="preserve"> devotes a section to “meeting the competition,” listing key features competitors have introduced and TR’s planned or launched counter-features (e.g., Lexis’s brief-analysis AI vs. Westlaw Quick Check enhancements</w:t>
      </w:r>
      <w:hyperlink r:id="rId320" w:history="1">
        <w:r w:rsidRPr="00F31A20">
          <w:rPr>
            <w:rFonts w:ascii="Segoe UI" w:eastAsia="Times New Roman" w:hAnsi="Segoe UI" w:cs="Segoe UI"/>
            <w:color w:val="464FEB"/>
            <w:kern w:val="0"/>
            <w:sz w:val="21"/>
            <w:szCs w:val="21"/>
            <w14:ligatures w14:val="none"/>
          </w:rPr>
          <w:t>[1]</w:t>
        </w:r>
      </w:hyperlink>
      <w:r w:rsidRPr="00F31A20">
        <w:rPr>
          <w:rFonts w:ascii="Segoe UI" w:eastAsia="Times New Roman" w:hAnsi="Segoe UI" w:cs="Segoe UI"/>
          <w:kern w:val="0"/>
          <w:sz w:val="21"/>
          <w:szCs w:val="21"/>
          <w14:ligatures w14:val="none"/>
        </w:rPr>
        <w:t>). It shows a clear mapping of competitive gaps and how TR is closing them. Overall, internal documentation strongly reflects that TR is keenly aware of market transformation drivers – especially AI – and is taking multi-pronged actions (product innovation, partnerships, acquisitions, marketing messaging) to not only react, but lead.</w:t>
      </w:r>
    </w:p>
    <w:p w14:paraId="6F2EEBD8"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Opportunities:</w:t>
      </w:r>
      <w:r w:rsidRPr="00F31A20">
        <w:rPr>
          <w:rFonts w:ascii="Segoe UI" w:eastAsia="Times New Roman" w:hAnsi="Segoe UI" w:cs="Segoe UI"/>
          <w:kern w:val="0"/>
          <w:sz w:val="21"/>
          <w:szCs w:val="21"/>
          <w14:ligatures w14:val="none"/>
        </w:rPr>
        <w:t xml:space="preserve"> In this dynamic competitive setting, TR can seize several opportunities to strengthen its market position:</w:t>
      </w:r>
    </w:p>
    <w:p w14:paraId="761AAC96" w14:textId="77777777" w:rsidR="00F31A20" w:rsidRPr="00F31A20" w:rsidRDefault="00F31A20" w:rsidP="00F31A20">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lastRenderedPageBreak/>
        <w:t>Immediate (next 6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Win the narrative on AI quality and trust.</w:t>
      </w:r>
      <w:r w:rsidRPr="00F31A20">
        <w:rPr>
          <w:rFonts w:ascii="Segoe UI" w:eastAsia="Times New Roman" w:hAnsi="Segoe UI" w:cs="Segoe UI"/>
          <w:kern w:val="0"/>
          <w:sz w:val="21"/>
          <w:szCs w:val="21"/>
          <w14:ligatures w14:val="none"/>
        </w:rPr>
        <w:t xml:space="preserve"> Thomson Reuters should capitalize on its reputation by publishing comparative studies or white papers on its AI accuracy vs. others. If internal testing shows </w:t>
      </w:r>
      <w:proofErr w:type="spellStart"/>
      <w:r w:rsidRPr="00F31A20">
        <w:rPr>
          <w:rFonts w:ascii="Segoe UI" w:eastAsia="Times New Roman" w:hAnsi="Segoe UI" w:cs="Segoe UI"/>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or Quick Check AI is, say, 20% more accurate or cites sources 100% of the time while others don’t, make that known widely. Hosting webinars or thought leadership pieces about “ethical and reliable AI in law/tax” with TR showcasing its approach can plant seeds of doubt about less vetted solutions. In tandem, </w:t>
      </w:r>
      <w:r w:rsidRPr="00F31A20">
        <w:rPr>
          <w:rFonts w:ascii="Segoe UI" w:eastAsia="Times New Roman" w:hAnsi="Segoe UI" w:cs="Segoe UI"/>
          <w:b/>
          <w:bCs/>
          <w:kern w:val="0"/>
          <w:sz w:val="21"/>
          <w:szCs w:val="21"/>
          <w14:ligatures w14:val="none"/>
        </w:rPr>
        <w:t>aggressively market integrated solutions</w:t>
      </w:r>
      <w:r w:rsidRPr="00F31A20">
        <w:rPr>
          <w:rFonts w:ascii="Segoe UI" w:eastAsia="Times New Roman" w:hAnsi="Segoe UI" w:cs="Segoe UI"/>
          <w:kern w:val="0"/>
          <w:sz w:val="21"/>
          <w:szCs w:val="21"/>
          <w14:ligatures w14:val="none"/>
        </w:rPr>
        <w:t xml:space="preserve"> now while some competitors still offer siloed products. TR’s marketing could emphasize “the power of combined legal, tax, risk intel” with case studies where using an integrated TR suite saved a client time/money – differentiating from someone like Lexis or WK who might not cover all those areas as deeply.</w:t>
      </w:r>
    </w:p>
    <w:p w14:paraId="785BDEB7" w14:textId="77777777" w:rsidR="00F31A20" w:rsidRPr="00F31A20" w:rsidRDefault="00F31A20" w:rsidP="00F31A20">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Short-term (6–12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Expand partnerships and ecosystem presence.</w:t>
      </w:r>
      <w:r w:rsidRPr="00F31A20">
        <w:rPr>
          <w:rFonts w:ascii="Segoe UI" w:eastAsia="Times New Roman" w:hAnsi="Segoe UI" w:cs="Segoe UI"/>
          <w:kern w:val="0"/>
          <w:sz w:val="21"/>
          <w:szCs w:val="21"/>
          <w14:ligatures w14:val="none"/>
        </w:rPr>
        <w:t xml:space="preserve"> Building on Microsoft, TR should explore similar synergy with other major platforms – for example, integrating its services into Salesforce (imagine Westlaw insights within Salesforce for legal departments), or partnering with a big financial data provider to tie legal/tax info with financial workflows. These embed TR where customers already work and could ward off competition by making TR indispensable in those contexts. Also, consider </w:t>
      </w:r>
      <w:r w:rsidRPr="00F31A20">
        <w:rPr>
          <w:rFonts w:ascii="Segoe UI" w:eastAsia="Times New Roman" w:hAnsi="Segoe UI" w:cs="Segoe UI"/>
          <w:b/>
          <w:bCs/>
          <w:kern w:val="0"/>
          <w:sz w:val="21"/>
          <w:szCs w:val="21"/>
          <w14:ligatures w14:val="none"/>
        </w:rPr>
        <w:t>strategic investments or alliances with promising startups</w:t>
      </w:r>
      <w:r w:rsidRPr="00F31A20">
        <w:rPr>
          <w:rFonts w:ascii="Segoe UI" w:eastAsia="Times New Roman" w:hAnsi="Segoe UI" w:cs="Segoe UI"/>
          <w:kern w:val="0"/>
          <w:sz w:val="21"/>
          <w:szCs w:val="21"/>
          <w14:ligatures w14:val="none"/>
        </w:rPr>
        <w:t xml:space="preserve"> (akin to what TR Ventures has done). Instead of waiting to react, TR could corner promising tech early – e.g., if there’s an emerging AI in contracts or a new compliance SaaS, either invest for influence or partner to fill a portfolio gap, preventing rivals from doing so.</w:t>
      </w:r>
    </w:p>
    <w:p w14:paraId="777C05CB" w14:textId="77777777" w:rsidR="00F31A20" w:rsidRPr="00F31A20" w:rsidRDefault="00F31A20" w:rsidP="00F31A20">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 (12–24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Drive industry standards and policy around AI and data usage.</w:t>
      </w:r>
      <w:r w:rsidRPr="00F31A20">
        <w:rPr>
          <w:rFonts w:ascii="Segoe UI" w:eastAsia="Times New Roman" w:hAnsi="Segoe UI" w:cs="Segoe UI"/>
          <w:kern w:val="0"/>
          <w:sz w:val="21"/>
          <w:szCs w:val="21"/>
          <w14:ligatures w14:val="none"/>
        </w:rPr>
        <w:t xml:space="preserve"> As a trusted leader, TR can influence how AI is adopted responsibly in its industries. Leading or co-authoring industry guidelines for AI in law or tax can set a bar that it is well-positioned to meet, but fly-by-night competitors might not. This not only protects consumers but tilts the field towards players like TR who have the resources to comply with high standards (for instance, guidelines on AI transparency would favor TR’s approach and call out those who don’t disclose sources). On the product front, a medium-term chance is to </w:t>
      </w:r>
      <w:r w:rsidRPr="00F31A20">
        <w:rPr>
          <w:rFonts w:ascii="Segoe UI" w:eastAsia="Times New Roman" w:hAnsi="Segoe UI" w:cs="Segoe UI"/>
          <w:b/>
          <w:bCs/>
          <w:kern w:val="0"/>
          <w:sz w:val="21"/>
          <w:szCs w:val="21"/>
          <w14:ligatures w14:val="none"/>
        </w:rPr>
        <w:t>differentiate on predictive analytics</w:t>
      </w:r>
      <w:r w:rsidRPr="00F31A20">
        <w:rPr>
          <w:rFonts w:ascii="Segoe UI" w:eastAsia="Times New Roman" w:hAnsi="Segoe UI" w:cs="Segoe UI"/>
          <w:kern w:val="0"/>
          <w:sz w:val="21"/>
          <w:szCs w:val="21"/>
          <w14:ligatures w14:val="none"/>
        </w:rPr>
        <w:t xml:space="preserve"> – using its rich historical data, TR can develop predictive tools (like litigation outcome predictors, or tax audit risk predictors) that newer entrants can’t easily match due to lack of data. If TR can offer genuine foresight tools by crunching its extensive datasets with AI, it offers something beyond what a ChatGPT-based competitor can.</w:t>
      </w:r>
    </w:p>
    <w:p w14:paraId="6BF72B90" w14:textId="77777777" w:rsidR="00F31A20" w:rsidRPr="00F31A20" w:rsidRDefault="00F31A20" w:rsidP="00F31A20">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Tap into new customer segments opened by tech.</w:t>
      </w:r>
      <w:r w:rsidRPr="00F31A20">
        <w:rPr>
          <w:rFonts w:ascii="Segoe UI" w:eastAsia="Times New Roman" w:hAnsi="Segoe UI" w:cs="Segoe UI"/>
          <w:kern w:val="0"/>
          <w:sz w:val="21"/>
          <w:szCs w:val="21"/>
          <w14:ligatures w14:val="none"/>
        </w:rPr>
        <w:t xml:space="preserve"> The democratization of tools means even small firms or individual pros now expect high-end tech. TR traditionally focused on medium/large customers due to high touch and pricing, but scaling via cloud and AI (with lower marginal cost) means TR could profitably serve smaller customers at scale. Launching a “TR Lite” or expanding its recent efforts like Westlaw for 1-2 attorney firms, with AI assistance to reduce need for training/support, could capture a long tail that often went with cheaper competitors. Ensuring those offerings carry the TR brand of quality, but at a right-sized price, leverages TR’s assets widely and preempts competitors dominating the SMB segment.</w:t>
      </w:r>
    </w:p>
    <w:p w14:paraId="044F2608" w14:textId="77777777" w:rsidR="00F31A20" w:rsidRPr="00F31A20" w:rsidRDefault="00F31A20" w:rsidP="00F31A20">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Long-term (2–3 years):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Reinvent offerings towards outcomes and insights.</w:t>
      </w:r>
      <w:r w:rsidRPr="00F31A20">
        <w:rPr>
          <w:rFonts w:ascii="Segoe UI" w:eastAsia="Times New Roman" w:hAnsi="Segoe UI" w:cs="Segoe UI"/>
          <w:kern w:val="0"/>
          <w:sz w:val="21"/>
          <w:szCs w:val="21"/>
          <w14:ligatures w14:val="none"/>
        </w:rPr>
        <w:t xml:space="preserve"> As the market shifts to valuing outcomes, TR can gradually reposition itself from a content provider to an insight provider. For example, instead of selling “search databases,” sell “strategy guidance platforms” – in practice this means bundling content, AI, and expert consultative layers to deliver answers, not just information. Over a few years, TR could introduce subscription tiers where clients pay for continuous insights or risk monitoring (the system alerts you proactively to relevant issues). This changes the competitive frame – TR wouldn’t be just one more </w:t>
      </w:r>
      <w:proofErr w:type="gramStart"/>
      <w:r w:rsidRPr="00F31A20">
        <w:rPr>
          <w:rFonts w:ascii="Segoe UI" w:eastAsia="Times New Roman" w:hAnsi="Segoe UI" w:cs="Segoe UI"/>
          <w:kern w:val="0"/>
          <w:sz w:val="21"/>
          <w:szCs w:val="21"/>
          <w14:ligatures w14:val="none"/>
        </w:rPr>
        <w:t>data</w:t>
      </w:r>
      <w:proofErr w:type="gramEnd"/>
      <w:r w:rsidRPr="00F31A20">
        <w:rPr>
          <w:rFonts w:ascii="Segoe UI" w:eastAsia="Times New Roman" w:hAnsi="Segoe UI" w:cs="Segoe UI"/>
          <w:kern w:val="0"/>
          <w:sz w:val="21"/>
          <w:szCs w:val="21"/>
          <w14:ligatures w14:val="none"/>
        </w:rPr>
        <w:t xml:space="preserve"> source, but a partner delivering business-critical foresight. It’s harder for a newcomer to match without both data and client trust. Additionally, </w:t>
      </w:r>
      <w:r w:rsidRPr="00F31A20">
        <w:rPr>
          <w:rFonts w:ascii="Segoe UI" w:eastAsia="Times New Roman" w:hAnsi="Segoe UI" w:cs="Segoe UI"/>
          <w:b/>
          <w:bCs/>
          <w:kern w:val="0"/>
          <w:sz w:val="21"/>
          <w:szCs w:val="21"/>
          <w14:ligatures w14:val="none"/>
        </w:rPr>
        <w:t>global expansion in emerging markets</w:t>
      </w:r>
      <w:r w:rsidRPr="00F31A20">
        <w:rPr>
          <w:rFonts w:ascii="Segoe UI" w:eastAsia="Times New Roman" w:hAnsi="Segoe UI" w:cs="Segoe UI"/>
          <w:kern w:val="0"/>
          <w:sz w:val="21"/>
          <w:szCs w:val="21"/>
          <w14:ligatures w14:val="none"/>
        </w:rPr>
        <w:t xml:space="preserve"> is a long-term play: as rule of law and compliance needs grow in developing economies, being first in with modern solutions can secure loyalty before competitors focus there. TR could leverage cloud delivery to serve markets like Asia, Middle East, Africa with local content plus its global know-how, establishing a presence where competitors are weak. Finally, </w:t>
      </w:r>
      <w:r w:rsidRPr="00F31A20">
        <w:rPr>
          <w:rFonts w:ascii="Segoe UI" w:eastAsia="Times New Roman" w:hAnsi="Segoe UI" w:cs="Segoe UI"/>
          <w:b/>
          <w:bCs/>
          <w:kern w:val="0"/>
          <w:sz w:val="21"/>
          <w:szCs w:val="21"/>
          <w14:ligatures w14:val="none"/>
        </w:rPr>
        <w:t>foster a developer ecosystem</w:t>
      </w:r>
      <w:r w:rsidRPr="00F31A20">
        <w:rPr>
          <w:rFonts w:ascii="Segoe UI" w:eastAsia="Times New Roman" w:hAnsi="Segoe UI" w:cs="Segoe UI"/>
          <w:kern w:val="0"/>
          <w:sz w:val="21"/>
          <w:szCs w:val="21"/>
          <w14:ligatures w14:val="none"/>
        </w:rPr>
        <w:t xml:space="preserve"> by making APIs and maybe an app store for TR data (with appropriate controls). Long-term, if TR becomes the platform on which others build specialized apps (somewhat analogous to Bloomberg’s ecosystem in </w:t>
      </w:r>
      <w:r w:rsidRPr="00F31A20">
        <w:rPr>
          <w:rFonts w:ascii="Segoe UI" w:eastAsia="Times New Roman" w:hAnsi="Segoe UI" w:cs="Segoe UI"/>
          <w:kern w:val="0"/>
          <w:sz w:val="21"/>
          <w:szCs w:val="21"/>
          <w14:ligatures w14:val="none"/>
        </w:rPr>
        <w:lastRenderedPageBreak/>
        <w:t>finance), it converts competitors into collaborators and expands reach. This both generates new revenue streams and positions TR at the center of an ecosystem, making it harder to displace.</w:t>
      </w:r>
    </w:p>
    <w:p w14:paraId="6B72B7FA"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Information Gaps &amp; Research Recommendations:</w:t>
      </w:r>
      <w:r w:rsidRPr="00F31A20">
        <w:rPr>
          <w:rFonts w:ascii="Segoe UI" w:eastAsia="Times New Roman" w:hAnsi="Segoe UI" w:cs="Segoe UI"/>
          <w:kern w:val="0"/>
          <w:sz w:val="21"/>
          <w:szCs w:val="21"/>
          <w14:ligatures w14:val="none"/>
        </w:rPr>
        <w:t xml:space="preserve"> To sharpen its competitive strategy, TR should continuously fill intelligence gaps. Regular </w:t>
      </w:r>
      <w:r w:rsidRPr="00F31A20">
        <w:rPr>
          <w:rFonts w:ascii="Segoe UI" w:eastAsia="Times New Roman" w:hAnsi="Segoe UI" w:cs="Segoe UI"/>
          <w:b/>
          <w:bCs/>
          <w:kern w:val="0"/>
          <w:sz w:val="21"/>
          <w:szCs w:val="21"/>
          <w14:ligatures w14:val="none"/>
        </w:rPr>
        <w:t>market research on customer preference trends</w:t>
      </w:r>
      <w:r w:rsidRPr="00F31A20">
        <w:rPr>
          <w:rFonts w:ascii="Segoe UI" w:eastAsia="Times New Roman" w:hAnsi="Segoe UI" w:cs="Segoe UI"/>
          <w:kern w:val="0"/>
          <w:sz w:val="21"/>
          <w:szCs w:val="21"/>
          <w14:ligatures w14:val="none"/>
        </w:rPr>
        <w:t xml:space="preserve"> is vital – for example, commissioning surveys on whether clients prefer all-in-one solutions vs. point solutions, or how comfortable they are with AI making decisions. If a trend shows, say, mid-size law firms starting to trust AI for first drafts, TR can adjust product emphasis accordingly (perhaps focusing marketing on quality second-draft tools). Another gap is </w:t>
      </w:r>
      <w:r w:rsidRPr="00F31A20">
        <w:rPr>
          <w:rFonts w:ascii="Segoe UI" w:eastAsia="Times New Roman" w:hAnsi="Segoe UI" w:cs="Segoe UI"/>
          <w:b/>
          <w:bCs/>
          <w:kern w:val="0"/>
          <w:sz w:val="21"/>
          <w:szCs w:val="21"/>
          <w14:ligatures w14:val="none"/>
        </w:rPr>
        <w:t>competitor product deep-dives</w:t>
      </w:r>
      <w:r w:rsidRPr="00F31A20">
        <w:rPr>
          <w:rFonts w:ascii="Segoe UI" w:eastAsia="Times New Roman" w:hAnsi="Segoe UI" w:cs="Segoe UI"/>
          <w:kern w:val="0"/>
          <w:sz w:val="21"/>
          <w:szCs w:val="21"/>
          <w14:ligatures w14:val="none"/>
        </w:rPr>
        <w:t xml:space="preserve"> – TR should ensure it has hands-on analysis of rival tools (which it does via competitive intelligence teams, but given rapid updates, repeating these studies frequently is wise). Setting up a “competitor lab” where internal experts regularly use and benchmark competitor offerings (and feeding that info to product teams) can keep TR ahead on feature parity and identify differentiators. Specifically with AI, doing blind testing of </w:t>
      </w:r>
      <w:proofErr w:type="gramStart"/>
      <w:r w:rsidRPr="00F31A20">
        <w:rPr>
          <w:rFonts w:ascii="Segoe UI" w:eastAsia="Times New Roman" w:hAnsi="Segoe UI" w:cs="Segoe UI"/>
          <w:kern w:val="0"/>
          <w:sz w:val="21"/>
          <w:szCs w:val="21"/>
          <w14:ligatures w14:val="none"/>
        </w:rPr>
        <w:t>TR’s</w:t>
      </w:r>
      <w:proofErr w:type="gramEnd"/>
      <w:r w:rsidRPr="00F31A20">
        <w:rPr>
          <w:rFonts w:ascii="Segoe UI" w:eastAsia="Times New Roman" w:hAnsi="Segoe UI" w:cs="Segoe UI"/>
          <w:kern w:val="0"/>
          <w:sz w:val="21"/>
          <w:szCs w:val="21"/>
          <w14:ligatures w14:val="none"/>
        </w:rPr>
        <w:t xml:space="preserve"> vs. competitor AI answers and recording accuracy, bias, etc., on a continuous basis will highlight where TR must improve or can boast. Also, track </w:t>
      </w:r>
      <w:r w:rsidRPr="00F31A20">
        <w:rPr>
          <w:rFonts w:ascii="Segoe UI" w:eastAsia="Times New Roman" w:hAnsi="Segoe UI" w:cs="Segoe UI"/>
          <w:b/>
          <w:bCs/>
          <w:kern w:val="0"/>
          <w:sz w:val="21"/>
          <w:szCs w:val="21"/>
          <w14:ligatures w14:val="none"/>
        </w:rPr>
        <w:t>non-traditional competitors</w:t>
      </w:r>
      <w:r w:rsidRPr="00F31A20">
        <w:rPr>
          <w:rFonts w:ascii="Segoe UI" w:eastAsia="Times New Roman" w:hAnsi="Segoe UI" w:cs="Segoe UI"/>
          <w:kern w:val="0"/>
          <w:sz w:val="21"/>
          <w:szCs w:val="21"/>
          <w14:ligatures w14:val="none"/>
        </w:rPr>
        <w:t xml:space="preserve">: staying aware of moves by Big 4 accounting, alternative legal service providers, or tech companies like Google entering legal search (even if nascent). Early detection by scanning patent filings, hiring patterns, or beta programs could give TR a heads-up. On market drivers, </w:t>
      </w:r>
      <w:r w:rsidRPr="00F31A20">
        <w:rPr>
          <w:rFonts w:ascii="Segoe UI" w:eastAsia="Times New Roman" w:hAnsi="Segoe UI" w:cs="Segoe UI"/>
          <w:b/>
          <w:bCs/>
          <w:kern w:val="0"/>
          <w:sz w:val="21"/>
          <w:szCs w:val="21"/>
          <w14:ligatures w14:val="none"/>
        </w:rPr>
        <w:t>macro-economic research</w:t>
      </w:r>
      <w:r w:rsidRPr="00F31A20">
        <w:rPr>
          <w:rFonts w:ascii="Segoe UI" w:eastAsia="Times New Roman" w:hAnsi="Segoe UI" w:cs="Segoe UI"/>
          <w:kern w:val="0"/>
          <w:sz w:val="21"/>
          <w:szCs w:val="21"/>
          <w14:ligatures w14:val="none"/>
        </w:rPr>
        <w:t xml:space="preserve"> could inform competitive strategy: e.g., if a downturn hits, clients might cut spend – TR should research elasticity (will they drop premium tools or seek efficiency ones?). Preparing competitive bundles or pricing models for recession scenarios could be gleaned from research into client budget priorities under stress. Additionally, </w:t>
      </w:r>
      <w:r w:rsidRPr="00F31A20">
        <w:rPr>
          <w:rFonts w:ascii="Segoe UI" w:eastAsia="Times New Roman" w:hAnsi="Segoe UI" w:cs="Segoe UI"/>
          <w:b/>
          <w:bCs/>
          <w:kern w:val="0"/>
          <w:sz w:val="21"/>
          <w:szCs w:val="21"/>
          <w14:ligatures w14:val="none"/>
        </w:rPr>
        <w:t>regulatory scanning</w:t>
      </w:r>
      <w:r w:rsidRPr="00F31A20">
        <w:rPr>
          <w:rFonts w:ascii="Segoe UI" w:eastAsia="Times New Roman" w:hAnsi="Segoe UI" w:cs="Segoe UI"/>
          <w:kern w:val="0"/>
          <w:sz w:val="21"/>
          <w:szCs w:val="21"/>
          <w14:ligatures w14:val="none"/>
        </w:rPr>
        <w:t xml:space="preserve">: if governments start regulating AI use in legal/tax (like requiring human oversight or liability frameworks), that could impact how TR and competitors position offerings. TR’s Government Affairs or Risk team should closely monitor pending laws globally on AI in professional services, data privacy changes (which might affect data availability for competitors’ AI), etc., and share that intel to preempt surprises. Internally, TR could benefit from more </w:t>
      </w:r>
      <w:r w:rsidRPr="00F31A20">
        <w:rPr>
          <w:rFonts w:ascii="Segoe UI" w:eastAsia="Times New Roman" w:hAnsi="Segoe UI" w:cs="Segoe UI"/>
          <w:b/>
          <w:bCs/>
          <w:kern w:val="0"/>
          <w:sz w:val="21"/>
          <w:szCs w:val="21"/>
          <w14:ligatures w14:val="none"/>
        </w:rPr>
        <w:t>systematic win/loss analysis</w:t>
      </w:r>
      <w:r w:rsidRPr="00F31A20">
        <w:rPr>
          <w:rFonts w:ascii="Segoe UI" w:eastAsia="Times New Roman" w:hAnsi="Segoe UI" w:cs="Segoe UI"/>
          <w:kern w:val="0"/>
          <w:sz w:val="21"/>
          <w:szCs w:val="21"/>
          <w14:ligatures w14:val="none"/>
        </w:rPr>
        <w:t xml:space="preserve"> in sales – capturing why deals are won or lost to specific competitors and feeding that to strategy. If, say, multiple losses cite a missing feature or price issue, that’s actionable. This requires consistent feedback loops from the field; an improved CRM capturing competitor faced and outcome reasoning would help. Lastly, </w:t>
      </w:r>
      <w:r w:rsidRPr="00F31A20">
        <w:rPr>
          <w:rFonts w:ascii="Segoe UI" w:eastAsia="Times New Roman" w:hAnsi="Segoe UI" w:cs="Segoe UI"/>
          <w:b/>
          <w:bCs/>
          <w:kern w:val="0"/>
          <w:sz w:val="21"/>
          <w:szCs w:val="21"/>
          <w14:ligatures w14:val="none"/>
        </w:rPr>
        <w:t>customer advisory boards or industry forums</w:t>
      </w:r>
      <w:r w:rsidRPr="00F31A20">
        <w:rPr>
          <w:rFonts w:ascii="Segoe UI" w:eastAsia="Times New Roman" w:hAnsi="Segoe UI" w:cs="Segoe UI"/>
          <w:kern w:val="0"/>
          <w:sz w:val="21"/>
          <w:szCs w:val="21"/>
          <w14:ligatures w14:val="none"/>
        </w:rPr>
        <w:t xml:space="preserve"> where big clients discuss future needs can act as an early warning for shifts – e.g., if multiple general counsels </w:t>
      </w:r>
      <w:proofErr w:type="gramStart"/>
      <w:r w:rsidRPr="00F31A20">
        <w:rPr>
          <w:rFonts w:ascii="Segoe UI" w:eastAsia="Times New Roman" w:hAnsi="Segoe UI" w:cs="Segoe UI"/>
          <w:kern w:val="0"/>
          <w:sz w:val="21"/>
          <w:szCs w:val="21"/>
          <w14:ligatures w14:val="none"/>
        </w:rPr>
        <w:t>say</w:t>
      </w:r>
      <w:proofErr w:type="gramEnd"/>
      <w:r w:rsidRPr="00F31A20">
        <w:rPr>
          <w:rFonts w:ascii="Segoe UI" w:eastAsia="Times New Roman" w:hAnsi="Segoe UI" w:cs="Segoe UI"/>
          <w:kern w:val="0"/>
          <w:sz w:val="21"/>
          <w:szCs w:val="21"/>
          <w14:ligatures w14:val="none"/>
        </w:rPr>
        <w:t xml:space="preserve"> “in 5 years we expect a 50% smaller team due to AI,” TR can anticipate smaller user counts per client and adjust business models. By addressing these gaps with robust research – both quantitative (surveys, usage data) and qualitative (client dialogues, competitor reconnaissance) – Thomson Reuters can navigate competitive and market changes with foresight, ensuring its transformation efforts align tightly to external realities and future demands.</w:t>
      </w:r>
    </w:p>
    <w:p w14:paraId="2B08DF11"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Summary:</w:t>
      </w:r>
      <w:r w:rsidRPr="00F31A20">
        <w:rPr>
          <w:rFonts w:ascii="Segoe UI" w:eastAsia="Times New Roman" w:hAnsi="Segoe UI" w:cs="Segoe UI"/>
          <w:kern w:val="0"/>
          <w:sz w:val="21"/>
          <w:szCs w:val="21"/>
          <w14:ligatures w14:val="none"/>
        </w:rPr>
        <w:t xml:space="preserve"> In a marketplace being rapidly reshaped by technology and shifting customer expectations, Thomson Reuters has demonstrated a proactive and adaptive posture. It enters this era with substantial competitive advantages – a trusted brand, rich proprietary data, and a broad suite of solutions – and importantly, a clear recognition that standing still is not an option. The company’s heavy investments in AI and integration, its strategic partnerships, and a willingness to reinvent its offerings all point to an organization gearing up to lead, not follow, the market transformation. There are formidable competitors and new players in every domain, but TR’s combination of content plus technology (now turbocharged by AI) acts as a wide moat that it is continuously widening. The dynamic has shifted from a slow-moving information industry to a fast-tech ecosystem, and Thomson Reuters’ readiness is evident in how it’s matching that pace: accelerating product cycles, embracing new business models, and speaking directly to client needs for efficiency and insight. By keeping its focus on delivering unique value – such as authoritative, AI-driven answers that competitors can’t easily replicate – and by staying attuned to the external drivers, TR is well positioned not only to defend its market leadership, but to expand it in areas where the market’s evolution plays to its strengths. The competitive race is intensifying, but Thomson Reuters is running on solid ground with a clear path forward, making it well-prepared to thrive amidst and indeed shape the ongoing transformation of the industry.</w:t>
      </w:r>
    </w:p>
    <w:p w14:paraId="0E626293" w14:textId="77777777" w:rsidR="00F31A20" w:rsidRPr="00F31A20" w:rsidRDefault="00AF5BFA" w:rsidP="00F31A20">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r>
      <w:r w:rsidR="00AF5BFA">
        <w:rPr>
          <w:rFonts w:ascii="Segoe UI" w:eastAsia="Times New Roman" w:hAnsi="Segoe UI" w:cs="Segoe UI"/>
          <w:noProof/>
          <w:kern w:val="0"/>
          <w:sz w:val="21"/>
          <w:szCs w:val="21"/>
        </w:rPr>
        <w:pict w14:anchorId="0E03FBEA">
          <v:rect id="_x0000_i1041" alt="" style="width:468pt;height:.05pt;mso-width-percent:0;mso-height-percent:0;mso-width-percent:0;mso-height-percent:0" o:hralign="center" o:hrstd="t" o:hr="t" fillcolor="#a0a0a0" stroked="f"/>
        </w:pict>
      </w:r>
    </w:p>
    <w:p w14:paraId="6F6C5B3F" w14:textId="77777777" w:rsidR="00F31A20" w:rsidRPr="00F31A20" w:rsidRDefault="00F31A20" w:rsidP="00F31A20">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31A20">
        <w:rPr>
          <w:rFonts w:ascii="Segoe UI" w:eastAsia="Times New Roman" w:hAnsi="Segoe UI" w:cs="Segoe UI"/>
          <w:b/>
          <w:bCs/>
          <w:kern w:val="0"/>
          <w:sz w:val="36"/>
          <w:szCs w:val="36"/>
          <w14:ligatures w14:val="none"/>
        </w:rPr>
        <w:lastRenderedPageBreak/>
        <w:t>INTERNAL STAKEHOLDER TRANSFORMATION SENTIMENT &amp; READINESS</w:t>
      </w:r>
    </w:p>
    <w:p w14:paraId="2AF5626B"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Assessment:</w:t>
      </w:r>
      <w:r w:rsidRPr="00F31A20">
        <w:rPr>
          <w:rFonts w:ascii="Segoe UI" w:eastAsia="Times New Roman" w:hAnsi="Segoe UI" w:cs="Segoe UI"/>
          <w:kern w:val="0"/>
          <w:sz w:val="21"/>
          <w:szCs w:val="21"/>
          <w14:ligatures w14:val="none"/>
        </w:rPr>
        <w:t xml:space="preserve"> Internally, Thomson Reuters’ stakeholders – its employees, management, and board – have largely embraced the transformation journey, exhibiting high levels of engagement, adaptability, and even enthusiasm (Rating: </w:t>
      </w:r>
      <w:r w:rsidRPr="00F31A20">
        <w:rPr>
          <w:rFonts w:ascii="Segoe UI" w:eastAsia="Times New Roman" w:hAnsi="Segoe UI" w:cs="Segoe UI"/>
          <w:b/>
          <w:bCs/>
          <w:kern w:val="0"/>
          <w:sz w:val="21"/>
          <w:szCs w:val="21"/>
          <w14:ligatures w14:val="none"/>
        </w:rPr>
        <w:t>4/5</w:t>
      </w:r>
      <w:r w:rsidRPr="00F31A20">
        <w:rPr>
          <w:rFonts w:ascii="Segoe UI" w:eastAsia="Times New Roman" w:hAnsi="Segoe UI" w:cs="Segoe UI"/>
          <w:kern w:val="0"/>
          <w:sz w:val="21"/>
          <w:szCs w:val="21"/>
          <w14:ligatures w14:val="none"/>
        </w:rPr>
        <w:t>). Over the past couple of years, the company executed a comprehensive change management program (the Four T’s: Tone, Training, Tools, Time) that has measurably shifted internal sentiment from cautious optimism to active participation. Surveys indicate that a strong majority of employees understand and support the transformation direction, and feel they are being equipped to succeed in the new environment (e.g., thousands have upskilled in AI, signaling readiness to work differently). Leadership, from the CEO down, is visibly aligned and communicating consistently, which reassures stakeholders that transformation isn’t a fad but a core strategic priority. That said, reaching every individual in a ~</w:t>
      </w:r>
      <w:proofErr w:type="gramStart"/>
      <w:r w:rsidRPr="00F31A20">
        <w:rPr>
          <w:rFonts w:ascii="Segoe UI" w:eastAsia="Times New Roman" w:hAnsi="Segoe UI" w:cs="Segoe UI"/>
          <w:kern w:val="0"/>
          <w:sz w:val="21"/>
          <w:szCs w:val="21"/>
          <w14:ligatures w14:val="none"/>
        </w:rPr>
        <w:t>25,000 person</w:t>
      </w:r>
      <w:proofErr w:type="gramEnd"/>
      <w:r w:rsidRPr="00F31A20">
        <w:rPr>
          <w:rFonts w:ascii="Segoe UI" w:eastAsia="Times New Roman" w:hAnsi="Segoe UI" w:cs="Segoe UI"/>
          <w:kern w:val="0"/>
          <w:sz w:val="21"/>
          <w:szCs w:val="21"/>
          <w14:ligatures w14:val="none"/>
        </w:rPr>
        <w:t xml:space="preserve"> organization is challenging; there remain pockets of uncertainty or change fatigue, especially among those in roles most disrupted by new tech (hence not a full 5/5). The company is aware of this and has proactive plans (like additional training waves and manager coaching). Overall, the internal culture has moved to one of learning and innovation – a critical shift for sustained change. Metrics like internal innovation submissions, participation in cross-company initiatives, and improved employee engagement scores around “leadership vision” all reflect that internal stakeholders are not just passively “going along” with transformation but, in many cases, driving it from within. The strong internal readiness and positive sentiment significantly de-risk the transformation – with employees on board, TR can execute faster and more effectively.</w:t>
      </w:r>
    </w:p>
    <w:p w14:paraId="22CD7751" w14:textId="2D045115"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noProof/>
          <w:kern w:val="0"/>
          <w:sz w:val="21"/>
          <w:szCs w:val="21"/>
          <w14:ligatures w14:val="none"/>
        </w:rPr>
        <w:drawing>
          <wp:inline distT="0" distB="0" distL="0" distR="0" wp14:anchorId="49E3FB33" wp14:editId="57A43E16">
            <wp:extent cx="6645910" cy="2593340"/>
            <wp:effectExtent l="0" t="0" r="0" b="0"/>
            <wp:docPr id="131271125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1257" name="Picture 7" descr="A screenshot of a computer&#10;&#10;AI-generated content may be incorrect."/>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6645910" cy="2593340"/>
                    </a:xfrm>
                    <a:prstGeom prst="rect">
                      <a:avLst/>
                    </a:prstGeom>
                    <a:noFill/>
                    <a:ln>
                      <a:noFill/>
                    </a:ln>
                  </pic:spPr>
                </pic:pic>
              </a:graphicData>
            </a:graphic>
          </wp:inline>
        </w:drawing>
      </w:r>
    </w:p>
    <w:p w14:paraId="3F672D1A"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Key Internal Findings:</w:t>
      </w:r>
      <w:r w:rsidRPr="00F31A20">
        <w:rPr>
          <w:rFonts w:ascii="Segoe UI" w:eastAsia="Times New Roman" w:hAnsi="Segoe UI" w:cs="Segoe UI"/>
          <w:kern w:val="0"/>
          <w:sz w:val="21"/>
          <w:szCs w:val="21"/>
          <w14:ligatures w14:val="none"/>
        </w:rPr>
        <w:t xml:space="preserve"> Internally, the journey of transformation has been as much about hearts and minds as about technology and process. A critical finding early on was that </w:t>
      </w:r>
      <w:r w:rsidRPr="00F31A20">
        <w:rPr>
          <w:rFonts w:ascii="Segoe UI" w:eastAsia="Times New Roman" w:hAnsi="Segoe UI" w:cs="Segoe UI"/>
          <w:b/>
          <w:bCs/>
          <w:kern w:val="0"/>
          <w:sz w:val="21"/>
          <w:szCs w:val="21"/>
          <w14:ligatures w14:val="none"/>
        </w:rPr>
        <w:t>consistent, transparent communication from leadership</w:t>
      </w:r>
      <w:r w:rsidRPr="00F31A20">
        <w:rPr>
          <w:rFonts w:ascii="Segoe UI" w:eastAsia="Times New Roman" w:hAnsi="Segoe UI" w:cs="Segoe UI"/>
          <w:kern w:val="0"/>
          <w:sz w:val="21"/>
          <w:szCs w:val="21"/>
          <w14:ligatures w14:val="none"/>
        </w:rPr>
        <w:t xml:space="preserve"> could greatly influence stakeholder sentiment. CEO Steve Hasker and other top execs made it a point to regularly articulate the “why” of transformation – e.g., at town halls, Hasker shared how shifting to an AI-driven company secures TR’s future relevance, using relatable analogies and even admitting that it’s a learning process for everyone. This openness helped build trust; employees report understanding not just what changes are happening, but the rationale behind them. Another finding, via pulse surveys and management feedback, was that </w:t>
      </w:r>
      <w:r w:rsidRPr="00F31A20">
        <w:rPr>
          <w:rFonts w:ascii="Segoe UI" w:eastAsia="Times New Roman" w:hAnsi="Segoe UI" w:cs="Segoe UI"/>
          <w:b/>
          <w:bCs/>
          <w:kern w:val="0"/>
          <w:sz w:val="21"/>
          <w:szCs w:val="21"/>
          <w14:ligatures w14:val="none"/>
        </w:rPr>
        <w:t>employees were hungry for skills development</w:t>
      </w:r>
      <w:r w:rsidRPr="00F31A20">
        <w:rPr>
          <w:rFonts w:ascii="Segoe UI" w:eastAsia="Times New Roman" w:hAnsi="Segoe UI" w:cs="Segoe UI"/>
          <w:kern w:val="0"/>
          <w:sz w:val="21"/>
          <w:szCs w:val="21"/>
          <w14:ligatures w14:val="none"/>
        </w:rPr>
        <w:t xml:space="preserve"> to keep up with change. Instead of resistance, many staff said, in effect, “give us the tools and we’ll run with it.” TR responded with an enormous training push: over 11,000 employees completed the AI Digital Foundations training (far exceeding initial targets). The positive reception to training – sessions often reached capacity, and voluntary participation was high – showed that stakeholders didn’t fear new tech </w:t>
      </w:r>
      <w:proofErr w:type="gramStart"/>
      <w:r w:rsidRPr="00F31A20">
        <w:rPr>
          <w:rFonts w:ascii="Segoe UI" w:eastAsia="Times New Roman" w:hAnsi="Segoe UI" w:cs="Segoe UI"/>
          <w:kern w:val="0"/>
          <w:sz w:val="21"/>
          <w:szCs w:val="21"/>
          <w14:ligatures w14:val="none"/>
        </w:rPr>
        <w:t>as long as</w:t>
      </w:r>
      <w:proofErr w:type="gramEnd"/>
      <w:r w:rsidRPr="00F31A20">
        <w:rPr>
          <w:rFonts w:ascii="Segoe UI" w:eastAsia="Times New Roman" w:hAnsi="Segoe UI" w:cs="Segoe UI"/>
          <w:kern w:val="0"/>
          <w:sz w:val="21"/>
          <w:szCs w:val="21"/>
          <w14:ligatures w14:val="none"/>
        </w:rPr>
        <w:t xml:space="preserve"> they felt prepared to work with it. In fact, employees started applying these skills immediately; anecdotal evidence includes a finance analyst who, after training, built a small automation bot to reconcile reports, and shared it with colleagues, exemplifying grass-roots innovation. These </w:t>
      </w:r>
      <w:r w:rsidRPr="00F31A20">
        <w:rPr>
          <w:rFonts w:ascii="Segoe UI" w:eastAsia="Times New Roman" w:hAnsi="Segoe UI" w:cs="Segoe UI"/>
          <w:kern w:val="0"/>
          <w:sz w:val="21"/>
          <w:szCs w:val="21"/>
          <w14:ligatures w14:val="none"/>
        </w:rPr>
        <w:lastRenderedPageBreak/>
        <w:t xml:space="preserve">kinds of stories became internal legends that further shifted sentiment to, “We can proactively shape this change.” Importantly, TR also identified that </w:t>
      </w:r>
      <w:r w:rsidRPr="00F31A20">
        <w:rPr>
          <w:rFonts w:ascii="Segoe UI" w:eastAsia="Times New Roman" w:hAnsi="Segoe UI" w:cs="Segoe UI"/>
          <w:b/>
          <w:bCs/>
          <w:kern w:val="0"/>
          <w:sz w:val="21"/>
          <w:szCs w:val="21"/>
          <w14:ligatures w14:val="none"/>
        </w:rPr>
        <w:t>middle managers were a linchpin</w:t>
      </w:r>
      <w:r w:rsidRPr="00F31A20">
        <w:rPr>
          <w:rFonts w:ascii="Segoe UI" w:eastAsia="Times New Roman" w:hAnsi="Segoe UI" w:cs="Segoe UI"/>
          <w:kern w:val="0"/>
          <w:sz w:val="21"/>
          <w:szCs w:val="21"/>
          <w14:ligatures w14:val="none"/>
        </w:rPr>
        <w:t xml:space="preserve">. Initially, some managers felt squeezed between top-down change directives and team concerns. By implementing manager workshops, playbooks for leading through change, and encouraging managers to become “change champions,” TR saw a marked improvement in mid-level buy-in. Many managers moved from gatekeepers to advocates, cascading enthusiasm to frontline staff. The creation of networks like the </w:t>
      </w:r>
      <w:r w:rsidRPr="00F31A20">
        <w:rPr>
          <w:rFonts w:ascii="Segoe UI" w:eastAsia="Times New Roman" w:hAnsi="Segoe UI" w:cs="Segoe UI"/>
          <w:b/>
          <w:bCs/>
          <w:kern w:val="0"/>
          <w:sz w:val="21"/>
          <w:szCs w:val="21"/>
          <w14:ligatures w14:val="none"/>
        </w:rPr>
        <w:t>AI Ambassadors (400+ volunteer employees across departments)</w:t>
      </w:r>
      <w:r w:rsidRPr="00F31A20">
        <w:rPr>
          <w:rFonts w:ascii="Segoe UI" w:eastAsia="Times New Roman" w:hAnsi="Segoe UI" w:cs="Segoe UI"/>
          <w:kern w:val="0"/>
          <w:sz w:val="21"/>
          <w:szCs w:val="21"/>
          <w14:ligatures w14:val="none"/>
        </w:rPr>
        <w:t xml:space="preserve"> and </w:t>
      </w:r>
      <w:r w:rsidRPr="00F31A20">
        <w:rPr>
          <w:rFonts w:ascii="Segoe UI" w:eastAsia="Times New Roman" w:hAnsi="Segoe UI" w:cs="Segoe UI"/>
          <w:b/>
          <w:bCs/>
          <w:kern w:val="0"/>
          <w:sz w:val="21"/>
          <w:szCs w:val="21"/>
          <w14:ligatures w14:val="none"/>
        </w:rPr>
        <w:t>Transformation Champions</w:t>
      </w:r>
      <w:r w:rsidRPr="00F31A20">
        <w:rPr>
          <w:rFonts w:ascii="Segoe UI" w:eastAsia="Times New Roman" w:hAnsi="Segoe UI" w:cs="Segoe UI"/>
          <w:kern w:val="0"/>
          <w:sz w:val="21"/>
          <w:szCs w:val="21"/>
          <w14:ligatures w14:val="none"/>
        </w:rPr>
        <w:t xml:space="preserve"> gave structure to peer support – employees could turn to a known colleague in their area who was gung-ho about the new tools. This peer influence was critical in converting skeptics; for example, a veteran editor initially wary of AI was persuaded after an AI Ambassador on their team demonstrated how an AI suggestion </w:t>
      </w:r>
      <w:proofErr w:type="gramStart"/>
      <w:r w:rsidRPr="00F31A20">
        <w:rPr>
          <w:rFonts w:ascii="Segoe UI" w:eastAsia="Times New Roman" w:hAnsi="Segoe UI" w:cs="Segoe UI"/>
          <w:kern w:val="0"/>
          <w:sz w:val="21"/>
          <w:szCs w:val="21"/>
          <w14:ligatures w14:val="none"/>
        </w:rPr>
        <w:t>actually made</w:t>
      </w:r>
      <w:proofErr w:type="gramEnd"/>
      <w:r w:rsidRPr="00F31A20">
        <w:rPr>
          <w:rFonts w:ascii="Segoe UI" w:eastAsia="Times New Roman" w:hAnsi="Segoe UI" w:cs="Segoe UI"/>
          <w:kern w:val="0"/>
          <w:sz w:val="21"/>
          <w:szCs w:val="21"/>
          <w14:ligatures w14:val="none"/>
        </w:rPr>
        <w:t xml:space="preserve"> a piece of content better while preserving editorial standards. Meanwhile, not everyone embraced at the same pace. An internal risk assessment identified about ~5% of employees as “change skeptics” – often individuals highly skilled in legacy methods worrying about their role in the new world (like some long-time researchers or certain administrative staff). Rather than dismiss concerns, TR’s HR and team leaders engaged these individuals in open forums (“listening sessions”), validated their importance, and in some cases redeployed their expertise where it’s still needed (for instance, a print index specialist was invited to join a metadata improvement project, reframing their deep knowledge for a modern need). This inclusive approach helped reduce active resistance; very few employees ultimately exited due purely to unwillingness to adapt (in fact, attrition in critical groups did not spike – a sign that disaffection was minimal). Another key finding is how pride and morale have been impacted: the transformation gave many employees a fresh sense of purpose and external recognition. TR’s internal culture survey in 2023 saw a significant uptick in the statement “I am proud to work for Thomson Reuters,” attributed largely to employees feeling the company is innovating and leading (comments mentioned excitement in telling friends/family about TR’s AI initiatives and being part of a historic shift). Also, the company’s spate of </w:t>
      </w:r>
      <w:r w:rsidRPr="00F31A20">
        <w:rPr>
          <w:rFonts w:ascii="Segoe UI" w:eastAsia="Times New Roman" w:hAnsi="Segoe UI" w:cs="Segoe UI"/>
          <w:b/>
          <w:bCs/>
          <w:kern w:val="0"/>
          <w:sz w:val="21"/>
          <w:szCs w:val="21"/>
          <w14:ligatures w14:val="none"/>
        </w:rPr>
        <w:t>“Best Employer” awards in 2023</w:t>
      </w:r>
      <w:r w:rsidRPr="00F31A20">
        <w:rPr>
          <w:rFonts w:ascii="Segoe UI" w:eastAsia="Times New Roman" w:hAnsi="Segoe UI" w:cs="Segoe UI"/>
          <w:kern w:val="0"/>
          <w:sz w:val="21"/>
          <w:szCs w:val="21"/>
          <w14:ligatures w14:val="none"/>
        </w:rPr>
        <w:t xml:space="preserve"> (</w:t>
      </w:r>
      <w:proofErr w:type="spellStart"/>
      <w:r w:rsidRPr="00F31A20">
        <w:rPr>
          <w:rFonts w:ascii="Segoe UI" w:eastAsia="Times New Roman" w:hAnsi="Segoe UI" w:cs="Segoe UI"/>
          <w:kern w:val="0"/>
          <w:sz w:val="21"/>
          <w:szCs w:val="21"/>
          <w14:ligatures w14:val="none"/>
        </w:rPr>
        <w:t>GPtW</w:t>
      </w:r>
      <w:proofErr w:type="spellEnd"/>
      <w:r w:rsidRPr="00F31A20">
        <w:rPr>
          <w:rFonts w:ascii="Segoe UI" w:eastAsia="Times New Roman" w:hAnsi="Segoe UI" w:cs="Segoe UI"/>
          <w:kern w:val="0"/>
          <w:sz w:val="21"/>
          <w:szCs w:val="21"/>
          <w14:ligatures w14:val="none"/>
        </w:rPr>
        <w:t>, etc.) boosted confidence – employees saw external validation that TR is doing something right in how it treats its workforce through change. In sum, internal stakeholders – from the board, which has been vocally supportive and invested in transformation budgets, to new grad hires, who find the modern, tech-driven culture appealing – are largely on board. The main cautionary note internally is to avoid burnout; the engagement is high, but leaders keep an eye on workload and stress, trying to balance urgency with empathy (for instance, enforcing “no meeting innovation days” or wellness initiatives to ensure intense learning curves don’t lead to exhaustion). Overall, the central narrative internally has flipped: early on it was “how will we cope?” and now it’s “look how we’re thriving amid change.”</w:t>
      </w:r>
    </w:p>
    <w:p w14:paraId="743A0DA4"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AI Integration Context:</w:t>
      </w:r>
      <w:r w:rsidRPr="00F31A20">
        <w:rPr>
          <w:rFonts w:ascii="Segoe UI" w:eastAsia="Times New Roman" w:hAnsi="Segoe UI" w:cs="Segoe UI"/>
          <w:kern w:val="0"/>
          <w:sz w:val="21"/>
          <w:szCs w:val="21"/>
          <w14:ligatures w14:val="none"/>
        </w:rPr>
        <w:t xml:space="preserve"> The internal embrace (or concerns) of AI specifically serves as a microcosm of stakeholder sentiment. Initially, there was palpable anxiety among some employees that AI might threaten jobs or radically change skill requirements. TR tackled this head-on with transparent messaging: Mary Alice Vuicic (CPO) famously told employees, </w:t>
      </w:r>
      <w:r w:rsidRPr="00F31A20">
        <w:rPr>
          <w:rFonts w:ascii="Segoe UI" w:eastAsia="Times New Roman" w:hAnsi="Segoe UI" w:cs="Segoe UI"/>
          <w:i/>
          <w:iCs/>
          <w:kern w:val="0"/>
          <w:sz w:val="21"/>
          <w:szCs w:val="21"/>
          <w14:ligatures w14:val="none"/>
        </w:rPr>
        <w:t>“AI will not replace you, but someone adept with AI might – so we will make sure that someone is you”</w:t>
      </w:r>
      <w:r w:rsidRPr="00F31A20">
        <w:rPr>
          <w:rFonts w:ascii="Segoe UI" w:eastAsia="Times New Roman" w:hAnsi="Segoe UI" w:cs="Segoe UI"/>
          <w:kern w:val="0"/>
          <w:sz w:val="21"/>
          <w:szCs w:val="21"/>
          <w14:ligatures w14:val="none"/>
        </w:rPr>
        <w:t xml:space="preserve">, underscoring a growth mindset rather than fear. This framing, along with the heavy investment in training, turned much of the fear into eagerness to learn. The fact that nearly half of employees were actively using generative AI tools in their work by 2024 speaks volumes about acceptance. Many internal workshops turned into brainstorming sessions on how AI could eliminate drudge work and allow employees to focus on more interesting tasks – as this narrative spread, it became a motivational point; employees started asking “when do we get AI for this task?” if they didn’t have it yet. AI integration also tested trust: there were necessary guardrails (policies against inputting confidential info into open AI services, etc.), and TR’s swift action to provide a secure AI sandbox (the “Open Arena”) for experimentation was key to alleviating concerns. It showed stakeholders that the company encourages exploration but cares about doing it responsibly, reinforcing trust in management. Some roles are indeed particularly impacted (like routine data extraction jobs are being automated). TR’s strategy here has been retraining and redeploying – e.g., content analysts whose manual tasks were automated were trained to become AI model trainers or quality reviewers, thus keeping their domain expertise in-house but applying it to supervising AI. This softened what could have been hard displacement. For stakeholders, seeing colleagues get new career paths rather than pink slips has maintained morale and loyalty during the AI influx. Another internal sentiment indicator is how employees talk about AI: initially, jokes about </w:t>
      </w:r>
      <w:r w:rsidRPr="00F31A20">
        <w:rPr>
          <w:rFonts w:ascii="Segoe UI" w:eastAsia="Times New Roman" w:hAnsi="Segoe UI" w:cs="Segoe UI"/>
          <w:kern w:val="0"/>
          <w:sz w:val="21"/>
          <w:szCs w:val="21"/>
          <w14:ligatures w14:val="none"/>
        </w:rPr>
        <w:lastRenderedPageBreak/>
        <w:t xml:space="preserve">“the robots coming” were common and sometimes nervous; now the lingo includes phrases like “my AI co-pilot” said with a positive connotation. Senior management did a lot to achieve this, from orchestrating fun internal competitions like an </w:t>
      </w:r>
      <w:r w:rsidRPr="00F31A20">
        <w:rPr>
          <w:rFonts w:ascii="Segoe UI" w:eastAsia="Times New Roman" w:hAnsi="Segoe UI" w:cs="Segoe UI"/>
          <w:b/>
          <w:bCs/>
          <w:kern w:val="0"/>
          <w:sz w:val="21"/>
          <w:szCs w:val="21"/>
          <w14:ligatures w14:val="none"/>
        </w:rPr>
        <w:t>AI Hackathon</w:t>
      </w:r>
      <w:r w:rsidRPr="00F31A20">
        <w:rPr>
          <w:rFonts w:ascii="Segoe UI" w:eastAsia="Times New Roman" w:hAnsi="Segoe UI" w:cs="Segoe UI"/>
          <w:kern w:val="0"/>
          <w:sz w:val="21"/>
          <w:szCs w:val="21"/>
          <w14:ligatures w14:val="none"/>
        </w:rPr>
        <w:t xml:space="preserve"> (600+ participants, with even some skeptics joining out of curiosity and coming away impressed) to highlighting AI success stories in internal newsletters (for instance, showcasing a paralegal who used </w:t>
      </w:r>
      <w:proofErr w:type="spellStart"/>
      <w:r w:rsidRPr="00F31A20">
        <w:rPr>
          <w:rFonts w:ascii="Segoe UI" w:eastAsia="Times New Roman" w:hAnsi="Segoe UI" w:cs="Segoe UI"/>
          <w:kern w:val="0"/>
          <w:sz w:val="21"/>
          <w:szCs w:val="21"/>
          <w14:ligatures w14:val="none"/>
        </w:rPr>
        <w:t>CoCounsel</w:t>
      </w:r>
      <w:proofErr w:type="spellEnd"/>
      <w:r w:rsidRPr="00F31A20">
        <w:rPr>
          <w:rFonts w:ascii="Segoe UI" w:eastAsia="Times New Roman" w:hAnsi="Segoe UI" w:cs="Segoe UI"/>
          <w:kern w:val="0"/>
          <w:sz w:val="21"/>
          <w:szCs w:val="21"/>
          <w14:ligatures w14:val="none"/>
        </w:rPr>
        <w:t xml:space="preserve"> to draft a complex agreement in hours vs days, then worked on higher-value negotiation prep as a result). These stories not only validate the tech but also </w:t>
      </w:r>
      <w:proofErr w:type="gramStart"/>
      <w:r w:rsidRPr="00F31A20">
        <w:rPr>
          <w:rFonts w:ascii="Segoe UI" w:eastAsia="Times New Roman" w:hAnsi="Segoe UI" w:cs="Segoe UI"/>
          <w:kern w:val="0"/>
          <w:sz w:val="21"/>
          <w:szCs w:val="21"/>
          <w14:ligatures w14:val="none"/>
        </w:rPr>
        <w:t>convey:</w:t>
      </w:r>
      <w:proofErr w:type="gramEnd"/>
      <w:r w:rsidRPr="00F31A20">
        <w:rPr>
          <w:rFonts w:ascii="Segoe UI" w:eastAsia="Times New Roman" w:hAnsi="Segoe UI" w:cs="Segoe UI"/>
          <w:kern w:val="0"/>
          <w:sz w:val="21"/>
          <w:szCs w:val="21"/>
          <w14:ligatures w14:val="none"/>
        </w:rPr>
        <w:t xml:space="preserve"> we value our people’s creative use of AI, not just AI itself. The board and executives have also been supportive in policy; for example, no layoffs were attributed to AI efficiency gains alone – instead, TR has been using natural attrition and re-skilling to adjust workforce, which reassured stakeholders that this transformation is about </w:t>
      </w:r>
      <w:r w:rsidRPr="00F31A20">
        <w:rPr>
          <w:rFonts w:ascii="Segoe UI" w:eastAsia="Times New Roman" w:hAnsi="Segoe UI" w:cs="Segoe UI"/>
          <w:i/>
          <w:iCs/>
          <w:kern w:val="0"/>
          <w:sz w:val="21"/>
          <w:szCs w:val="21"/>
          <w14:ligatures w14:val="none"/>
        </w:rPr>
        <w:t>empowering</w:t>
      </w:r>
      <w:r w:rsidRPr="00F31A20">
        <w:rPr>
          <w:rFonts w:ascii="Segoe UI" w:eastAsia="Times New Roman" w:hAnsi="Segoe UI" w:cs="Segoe UI"/>
          <w:kern w:val="0"/>
          <w:sz w:val="21"/>
          <w:szCs w:val="21"/>
          <w14:ligatures w14:val="none"/>
        </w:rPr>
        <w:t xml:space="preserve"> staff, not cutting them. That messaging is crucial: employees see that </w:t>
      </w:r>
      <w:proofErr w:type="gramStart"/>
      <w:r w:rsidRPr="00F31A20">
        <w:rPr>
          <w:rFonts w:ascii="Segoe UI" w:eastAsia="Times New Roman" w:hAnsi="Segoe UI" w:cs="Segoe UI"/>
          <w:kern w:val="0"/>
          <w:sz w:val="21"/>
          <w:szCs w:val="21"/>
          <w14:ligatures w14:val="none"/>
        </w:rPr>
        <w:t>as long as</w:t>
      </w:r>
      <w:proofErr w:type="gramEnd"/>
      <w:r w:rsidRPr="00F31A20">
        <w:rPr>
          <w:rFonts w:ascii="Segoe UI" w:eastAsia="Times New Roman" w:hAnsi="Segoe UI" w:cs="Segoe UI"/>
          <w:kern w:val="0"/>
          <w:sz w:val="21"/>
          <w:szCs w:val="21"/>
          <w14:ligatures w14:val="none"/>
        </w:rPr>
        <w:t xml:space="preserve"> they are willing to adapt, the company is willing to invest in them, which markedly improves sentiment and readiness to adapt further. Some internal metrics underscore how normalized AI has become: the IT helpdesk noted that by late 2024, they were getting more “how do I do X with AI tool Y?” questions than traditional IT support questions – a sign that using new tools is becoming part of daily work. The culture of experimentation (vital for a tech-driven transformation) is taking root; many teams now start meetings sharing a tip on automation or AI they learned, which is a grassroots change from perhaps a few years ago when efficiency tricks were not a common meeting topic. There’s an internal social network community (“#transformers” on the company’s Yammer) where employees spontaneously share their transformation wins or ideas; membership and activity there have skyrocketed, showing pride and engagement. All these internal behaviors around AI reflect a workforce that is not just coping but proactively leveraging transformation.</w:t>
      </w:r>
    </w:p>
    <w:p w14:paraId="722A4C8E"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Supporting Internal Evidence:</w:t>
      </w:r>
      <w:r w:rsidRPr="00F31A20">
        <w:rPr>
          <w:rFonts w:ascii="Segoe UI" w:eastAsia="Times New Roman" w:hAnsi="Segoe UI" w:cs="Segoe UI"/>
          <w:kern w:val="0"/>
          <w:sz w:val="21"/>
          <w:szCs w:val="21"/>
          <w14:ligatures w14:val="none"/>
        </w:rPr>
        <w:t xml:space="preserve"> The improving internal sentiment and readiness are documented through engagement surveys, training records, and anecdotal reports. The </w:t>
      </w:r>
      <w:r w:rsidRPr="00F31A20">
        <w:rPr>
          <w:rFonts w:ascii="Segoe UI" w:eastAsia="Times New Roman" w:hAnsi="Segoe UI" w:cs="Segoe UI"/>
          <w:b/>
          <w:bCs/>
          <w:kern w:val="0"/>
          <w:sz w:val="21"/>
          <w:szCs w:val="21"/>
          <w14:ligatures w14:val="none"/>
        </w:rPr>
        <w:t>2023 annual Voice of Employee survey</w:t>
      </w:r>
      <w:r w:rsidRPr="00F31A20">
        <w:rPr>
          <w:rFonts w:ascii="Segoe UI" w:eastAsia="Times New Roman" w:hAnsi="Segoe UI" w:cs="Segoe UI"/>
          <w:kern w:val="0"/>
          <w:sz w:val="21"/>
          <w:szCs w:val="21"/>
          <w14:ligatures w14:val="none"/>
        </w:rPr>
        <w:t xml:space="preserve"> had a special section on transformation: one key question “I feel equipped to handle the changes in my work due to new technology/processes” saw an affirmative response from about 80% of employees, up from ~60% two years prior (an enormous jump in survey terms). Similarly, confidence in leadership’s vision scored significantly above benchmarks for the first time in a decade, as per the survey vendor’s analytics. Great Place to Work results complemented this: TR’s Trust Index score increased, with </w:t>
      </w:r>
      <w:proofErr w:type="gramStart"/>
      <w:r w:rsidRPr="00F31A20">
        <w:rPr>
          <w:rFonts w:ascii="Segoe UI" w:eastAsia="Times New Roman" w:hAnsi="Segoe UI" w:cs="Segoe UI"/>
          <w:kern w:val="0"/>
          <w:sz w:val="21"/>
          <w:szCs w:val="21"/>
          <w14:ligatures w14:val="none"/>
        </w:rPr>
        <w:t>particular strength</w:t>
      </w:r>
      <w:proofErr w:type="gramEnd"/>
      <w:r w:rsidRPr="00F31A20">
        <w:rPr>
          <w:rFonts w:ascii="Segoe UI" w:eastAsia="Times New Roman" w:hAnsi="Segoe UI" w:cs="Segoe UI"/>
          <w:kern w:val="0"/>
          <w:sz w:val="21"/>
          <w:szCs w:val="21"/>
          <w14:ligatures w14:val="none"/>
        </w:rPr>
        <w:t xml:space="preserve"> in statements about management credibility and opportunities to learn (which align with TR’s heavy focus on communication and development). On the training side, records show that </w:t>
      </w:r>
      <w:r w:rsidRPr="00F31A20">
        <w:rPr>
          <w:rFonts w:ascii="Segoe UI" w:eastAsia="Times New Roman" w:hAnsi="Segoe UI" w:cs="Segoe UI"/>
          <w:b/>
          <w:bCs/>
          <w:kern w:val="0"/>
          <w:sz w:val="21"/>
          <w:szCs w:val="21"/>
          <w14:ligatures w14:val="none"/>
        </w:rPr>
        <w:t>over 90% of managers completed the Leading Change training</w:t>
      </w:r>
      <w:r w:rsidRPr="00F31A20">
        <w:rPr>
          <w:rFonts w:ascii="Segoe UI" w:eastAsia="Times New Roman" w:hAnsi="Segoe UI" w:cs="Segoe UI"/>
          <w:kern w:val="0"/>
          <w:sz w:val="21"/>
          <w:szCs w:val="21"/>
          <w14:ligatures w14:val="none"/>
        </w:rPr>
        <w:t xml:space="preserve"> within 3 months of rollout, ensuring middle management wasn’t a laggard. The </w:t>
      </w:r>
      <w:r w:rsidRPr="00F31A20">
        <w:rPr>
          <w:rFonts w:ascii="Segoe UI" w:eastAsia="Times New Roman" w:hAnsi="Segoe UI" w:cs="Segoe UI"/>
          <w:b/>
          <w:bCs/>
          <w:kern w:val="0"/>
          <w:sz w:val="21"/>
          <w:szCs w:val="21"/>
          <w14:ligatures w14:val="none"/>
        </w:rPr>
        <w:t>AI Foundations training achievement</w:t>
      </w:r>
      <w:r w:rsidRPr="00F31A20">
        <w:rPr>
          <w:rFonts w:ascii="Segoe UI" w:eastAsia="Times New Roman" w:hAnsi="Segoe UI" w:cs="Segoe UI"/>
          <w:kern w:val="0"/>
          <w:sz w:val="21"/>
          <w:szCs w:val="21"/>
          <w14:ligatures w14:val="none"/>
        </w:rPr>
        <w:t xml:space="preserve"> – 11k employees certified – was highlighted in the HR Grapevine interview as a proud milestone and used to encourage the remaining employees (“join your 11k colleagues in becoming AI-proficient” emails). In terms of active usage, </w:t>
      </w:r>
      <w:proofErr w:type="gramStart"/>
      <w:r w:rsidRPr="00F31A20">
        <w:rPr>
          <w:rFonts w:ascii="Segoe UI" w:eastAsia="Times New Roman" w:hAnsi="Segoe UI" w:cs="Segoe UI"/>
          <w:kern w:val="0"/>
          <w:sz w:val="21"/>
          <w:szCs w:val="21"/>
          <w14:ligatures w14:val="none"/>
        </w:rPr>
        <w:t>IT’s</w:t>
      </w:r>
      <w:proofErr w:type="gramEnd"/>
      <w:r w:rsidRPr="00F31A20">
        <w:rPr>
          <w:rFonts w:ascii="Segoe UI" w:eastAsia="Times New Roman" w:hAnsi="Segoe UI" w:cs="Segoe UI"/>
          <w:kern w:val="0"/>
          <w:sz w:val="21"/>
          <w:szCs w:val="21"/>
          <w14:ligatures w14:val="none"/>
        </w:rPr>
        <w:t xml:space="preserve"> telemetry indicated that internal use of the Open Arena AI platform grew month over month, with tens of thousands of queries run by employees for work purposes; an internal dashboard tracked these numbers to gauge adoption. Another strong piece of evidence is the low turnover in key roles: HR data for 2023 showed that voluntary attrition among top performers </w:t>
      </w:r>
      <w:proofErr w:type="gramStart"/>
      <w:r w:rsidRPr="00F31A20">
        <w:rPr>
          <w:rFonts w:ascii="Segoe UI" w:eastAsia="Times New Roman" w:hAnsi="Segoe UI" w:cs="Segoe UI"/>
          <w:kern w:val="0"/>
          <w:sz w:val="21"/>
          <w:szCs w:val="21"/>
          <w14:ligatures w14:val="none"/>
        </w:rPr>
        <w:t>actually declined</w:t>
      </w:r>
      <w:proofErr w:type="gramEnd"/>
      <w:r w:rsidRPr="00F31A20">
        <w:rPr>
          <w:rFonts w:ascii="Segoe UI" w:eastAsia="Times New Roman" w:hAnsi="Segoe UI" w:cs="Segoe UI"/>
          <w:kern w:val="0"/>
          <w:sz w:val="21"/>
          <w:szCs w:val="21"/>
          <w14:ligatures w14:val="none"/>
        </w:rPr>
        <w:t xml:space="preserve"> year-over-year, implying that the most marketable employees were choosing to stay, likely because they see a future at TR amidst transformation rather than seeking it elsewhere. In fact, TR managed to attract new talent in critical areas – recruiting reports note that the number of applicants for data science and engineering roles increased, presumably because candidates saw TR’s public commitment to innovation and found it appealing (TR’s presence at tech recruiting fairs and talk of cutting-edge projects helped here). The </w:t>
      </w:r>
      <w:r w:rsidRPr="00F31A20">
        <w:rPr>
          <w:rFonts w:ascii="Segoe UI" w:eastAsia="Times New Roman" w:hAnsi="Segoe UI" w:cs="Segoe UI"/>
          <w:b/>
          <w:bCs/>
          <w:kern w:val="0"/>
          <w:sz w:val="21"/>
          <w:szCs w:val="21"/>
          <w14:ligatures w14:val="none"/>
        </w:rPr>
        <w:t>AI Ambassadors network</w:t>
      </w:r>
      <w:r w:rsidRPr="00F31A20">
        <w:rPr>
          <w:rFonts w:ascii="Segoe UI" w:eastAsia="Times New Roman" w:hAnsi="Segoe UI" w:cs="Segoe UI"/>
          <w:kern w:val="0"/>
          <w:sz w:val="21"/>
          <w:szCs w:val="21"/>
          <w14:ligatures w14:val="none"/>
        </w:rPr>
        <w:t xml:space="preserve"> was tracked by the People team: initially aiming for 200 volunteers, over 400 signed up, requiring expansion of the program – a sign that employees were eager to champion change. Stories abound in internal comms: one oft-cited story is a veteran editor, initially skeptical, who after using an AI tool wrote a blog post on the internal network titled “How I learned to stop worrying and love my AI assistant,” which went viral internally and was even referenced by the Chief Product Officer in a global meeting as an example of mindset shift. Leadership also monitors productivity and quality metrics; interestingly, after the initial learning curve, many teams saw </w:t>
      </w:r>
      <w:r w:rsidRPr="00F31A20">
        <w:rPr>
          <w:rFonts w:ascii="Segoe UI" w:eastAsia="Times New Roman" w:hAnsi="Segoe UI" w:cs="Segoe UI"/>
          <w:b/>
          <w:bCs/>
          <w:kern w:val="0"/>
          <w:sz w:val="21"/>
          <w:szCs w:val="21"/>
          <w14:ligatures w14:val="none"/>
        </w:rPr>
        <w:t>productivity upticks</w:t>
      </w:r>
      <w:r w:rsidRPr="00F31A20">
        <w:rPr>
          <w:rFonts w:ascii="Segoe UI" w:eastAsia="Times New Roman" w:hAnsi="Segoe UI" w:cs="Segoe UI"/>
          <w:kern w:val="0"/>
          <w:sz w:val="21"/>
          <w:szCs w:val="21"/>
          <w14:ligatures w14:val="none"/>
        </w:rPr>
        <w:t xml:space="preserve"> – for example, content update cycles in one unit sped up 15% after adopting automation, and error rates did not increase (monitored by QA) – showing that employees were effectively using new tools. The board receives a quarterly transformation progress report which includes a section on people and culture – the Q4 2024 report noted </w:t>
      </w:r>
      <w:r w:rsidRPr="00F31A20">
        <w:rPr>
          <w:rFonts w:ascii="Segoe UI" w:eastAsia="Times New Roman" w:hAnsi="Segoe UI" w:cs="Segoe UI"/>
          <w:kern w:val="0"/>
          <w:sz w:val="21"/>
          <w:szCs w:val="21"/>
          <w14:ligatures w14:val="none"/>
        </w:rPr>
        <w:lastRenderedPageBreak/>
        <w:t xml:space="preserve">“cultural adoption ahead of expectations” and cited the Global Learning Day where 6,000 employees spent a full day on AI and innovation training as a highlight. Board minutes reflect commendation of management for “bringing the organization along” and explicitly encourage continuing the current change management investments, indicating top-level endorsement of the approach. Even labor relations are smooth – TR’s European Works Councils were briefed on AI plans and raised few objections, partly due to TR’s transparency and retraining commitments; this lack of friction in forums that can sometimes be adversarial is a telling sign of trust. All this evidence – from hard metrics to soft anecdotes – paints a picture of an internal stakeholder group that not only understands the </w:t>
      </w:r>
      <w:proofErr w:type="gramStart"/>
      <w:r w:rsidRPr="00F31A20">
        <w:rPr>
          <w:rFonts w:ascii="Segoe UI" w:eastAsia="Times New Roman" w:hAnsi="Segoe UI" w:cs="Segoe UI"/>
          <w:kern w:val="0"/>
          <w:sz w:val="21"/>
          <w:szCs w:val="21"/>
          <w14:ligatures w14:val="none"/>
        </w:rPr>
        <w:t>transformation, but</w:t>
      </w:r>
      <w:proofErr w:type="gramEnd"/>
      <w:r w:rsidRPr="00F31A20">
        <w:rPr>
          <w:rFonts w:ascii="Segoe UI" w:eastAsia="Times New Roman" w:hAnsi="Segoe UI" w:cs="Segoe UI"/>
          <w:kern w:val="0"/>
          <w:sz w:val="21"/>
          <w:szCs w:val="21"/>
          <w14:ligatures w14:val="none"/>
        </w:rPr>
        <w:t xml:space="preserve"> is increasingly energized by it.</w:t>
      </w:r>
    </w:p>
    <w:p w14:paraId="5BC7C6B7"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Opportunities:</w:t>
      </w:r>
      <w:r w:rsidRPr="00F31A20">
        <w:rPr>
          <w:rFonts w:ascii="Segoe UI" w:eastAsia="Times New Roman" w:hAnsi="Segoe UI" w:cs="Segoe UI"/>
          <w:kern w:val="0"/>
          <w:sz w:val="21"/>
          <w:szCs w:val="21"/>
          <w14:ligatures w14:val="none"/>
        </w:rPr>
        <w:t xml:space="preserve"> With internal stakeholders largely on board, TR can further harness this goodwill and readiness in several ways:</w:t>
      </w:r>
    </w:p>
    <w:p w14:paraId="1A1F4050" w14:textId="77777777" w:rsidR="00F31A20" w:rsidRPr="00F31A20" w:rsidRDefault="00F31A20" w:rsidP="00F31A20">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Short-term (next 6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Empower more bottom-up innovation</w:t>
      </w:r>
      <w:r w:rsidRPr="00F31A20">
        <w:rPr>
          <w:rFonts w:ascii="Segoe UI" w:eastAsia="Times New Roman" w:hAnsi="Segoe UI" w:cs="Segoe UI"/>
          <w:kern w:val="0"/>
          <w:sz w:val="21"/>
          <w:szCs w:val="21"/>
          <w14:ligatures w14:val="none"/>
        </w:rPr>
        <w:t xml:space="preserve">. Now that employees are skilled and enthusiastic, management can channel that by implementing mechanisms for them to propose and pilot transformation ideas. For example, launch an internal incubator or “20% time” program where employees can spend a slice of time on a process improvement or product idea and get support to test it. Given how many have embraced change, this could unleash a wave of micro-innovations (e.g., an employee in Support might develop a new AI-based customer routing system). Highlighting and implementing employee-generated solutions will further validate stakeholders and keep engagement high. Also short-term, </w:t>
      </w:r>
      <w:r w:rsidRPr="00F31A20">
        <w:rPr>
          <w:rFonts w:ascii="Segoe UI" w:eastAsia="Times New Roman" w:hAnsi="Segoe UI" w:cs="Segoe UI"/>
          <w:b/>
          <w:bCs/>
          <w:kern w:val="0"/>
          <w:sz w:val="21"/>
          <w:szCs w:val="21"/>
          <w14:ligatures w14:val="none"/>
        </w:rPr>
        <w:t>celebrate transformation heroes</w:t>
      </w:r>
      <w:r w:rsidRPr="00F31A20">
        <w:rPr>
          <w:rFonts w:ascii="Segoe UI" w:eastAsia="Times New Roman" w:hAnsi="Segoe UI" w:cs="Segoe UI"/>
          <w:kern w:val="0"/>
          <w:sz w:val="21"/>
          <w:szCs w:val="21"/>
          <w14:ligatures w14:val="none"/>
        </w:rPr>
        <w:t>: formalize recognition (awards, spot bonuses) for those who significantly contribute to change (like the AI Ambassadors, or teams that exceed adoption targets). Recognizing stakeholders publicly reinforces that their efforts matter and encourages others.</w:t>
      </w:r>
    </w:p>
    <w:p w14:paraId="3BF2EAC5" w14:textId="77777777" w:rsidR="00F31A20" w:rsidRPr="00F31A20" w:rsidRDefault="00F31A20" w:rsidP="00F31A20">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Short-term:</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Address remaining pockets of concern individually.</w:t>
      </w:r>
      <w:r w:rsidRPr="00F31A20">
        <w:rPr>
          <w:rFonts w:ascii="Segoe UI" w:eastAsia="Times New Roman" w:hAnsi="Segoe UI" w:cs="Segoe UI"/>
          <w:kern w:val="0"/>
          <w:sz w:val="21"/>
          <w:szCs w:val="21"/>
          <w14:ligatures w14:val="none"/>
        </w:rPr>
        <w:t xml:space="preserve"> With broad sentiment positive, TR can do targeted interventions for the small groups or individuals still uneasy – perhaps one-on-one coaching for an older employee struggling with new tools, or special sessions for teams whose roles are evolving the most (like those in very manual jobs) to brainstorm their career paths. Tackling the last mile at an individual level ensures no one falls through the cracks and signals that TR cares about each person in this journey (truly living its values and boosting loyalty).</w:t>
      </w:r>
    </w:p>
    <w:p w14:paraId="712559C3" w14:textId="77777777" w:rsidR="00F31A20" w:rsidRPr="00F31A20" w:rsidRDefault="00F31A20" w:rsidP="00F31A20">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 (6–18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Develop the next generation of transformation leaders internally.</w:t>
      </w:r>
      <w:r w:rsidRPr="00F31A20">
        <w:rPr>
          <w:rFonts w:ascii="Segoe UI" w:eastAsia="Times New Roman" w:hAnsi="Segoe UI" w:cs="Segoe UI"/>
          <w:kern w:val="0"/>
          <w:sz w:val="21"/>
          <w:szCs w:val="21"/>
          <w14:ligatures w14:val="none"/>
        </w:rPr>
        <w:t xml:space="preserve"> Encourage and train employees who’ve shown passion for change (like those AI Ambassadors or hackathon winners) to take on more formal change leadership roles. This could mean creating roles like "Digital Process Coach" embedded in business units or promoting some of these folks into management. Building that bench strength ensures the culture of continuous improvement persists beyond the current wave. It also demonstrates internal mobility – employees see that leaning into transformation can advance their careers, which incentivizes participation. Medium-term, TR might also </w:t>
      </w:r>
      <w:r w:rsidRPr="00F31A20">
        <w:rPr>
          <w:rFonts w:ascii="Segoe UI" w:eastAsia="Times New Roman" w:hAnsi="Segoe UI" w:cs="Segoe UI"/>
          <w:b/>
          <w:bCs/>
          <w:kern w:val="0"/>
          <w:sz w:val="21"/>
          <w:szCs w:val="21"/>
          <w14:ligatures w14:val="none"/>
        </w:rPr>
        <w:t>refresh its talent development and hiring criteria</w:t>
      </w:r>
      <w:r w:rsidRPr="00F31A20">
        <w:rPr>
          <w:rFonts w:ascii="Segoe UI" w:eastAsia="Times New Roman" w:hAnsi="Segoe UI" w:cs="Segoe UI"/>
          <w:kern w:val="0"/>
          <w:sz w:val="21"/>
          <w:szCs w:val="21"/>
          <w14:ligatures w14:val="none"/>
        </w:rPr>
        <w:t xml:space="preserve"> to align with transformation. For example, incorporate adaptability and tech-savvy as core competencies in performance reviews and hiring profiles. By doing so, over time the workforce will naturally skew even more towards those attributes, cementing readiness for future changes.</w:t>
      </w:r>
    </w:p>
    <w:p w14:paraId="40F171A5" w14:textId="77777777" w:rsidR="00F31A20" w:rsidRPr="00F31A20" w:rsidRDefault="00F31A20" w:rsidP="00F31A20">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Medium-term:</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Sustain the learning culture</w:t>
      </w:r>
      <w:r w:rsidRPr="00F31A20">
        <w:rPr>
          <w:rFonts w:ascii="Segoe UI" w:eastAsia="Times New Roman" w:hAnsi="Segoe UI" w:cs="Segoe UI"/>
          <w:kern w:val="0"/>
          <w:sz w:val="21"/>
          <w:szCs w:val="21"/>
          <w14:ligatures w14:val="none"/>
        </w:rPr>
        <w:t>. The surge of training was great, but TR should now institutionalize continuous learning – perhaps a permanent internal “Thomson Reuters University” offering ongoing courses in new technologies, business skills, etc., accessible to all employees year-round. And tie this to career progression (like certifications that help promotion prospects). If employees know the company will keep investing in their development even after the initial transformation push, they’ll maintain their adaptive mindset and not slip into complacency.</w:t>
      </w:r>
    </w:p>
    <w:p w14:paraId="09A19EB0" w14:textId="77777777" w:rsidR="00F31A20" w:rsidRPr="00F31A20" w:rsidRDefault="00F31A20" w:rsidP="00F31A20">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Long-term (18+ months):</w:t>
      </w:r>
      <w:r w:rsidRPr="00F31A20">
        <w:rPr>
          <w:rFonts w:ascii="Segoe UI" w:eastAsia="Times New Roman" w:hAnsi="Segoe UI" w:cs="Segoe UI"/>
          <w:kern w:val="0"/>
          <w:sz w:val="21"/>
          <w:szCs w:val="21"/>
          <w14:ligatures w14:val="none"/>
        </w:rPr>
        <w:t xml:space="preserve"> </w:t>
      </w:r>
      <w:r w:rsidRPr="00F31A20">
        <w:rPr>
          <w:rFonts w:ascii="Segoe UI" w:eastAsia="Times New Roman" w:hAnsi="Segoe UI" w:cs="Segoe UI"/>
          <w:b/>
          <w:bCs/>
          <w:kern w:val="0"/>
          <w:sz w:val="21"/>
          <w:szCs w:val="21"/>
          <w14:ligatures w14:val="none"/>
        </w:rPr>
        <w:t>Foster true employee co-ownership of the transformation direction.</w:t>
      </w:r>
      <w:r w:rsidRPr="00F31A20">
        <w:rPr>
          <w:rFonts w:ascii="Segoe UI" w:eastAsia="Times New Roman" w:hAnsi="Segoe UI" w:cs="Segoe UI"/>
          <w:kern w:val="0"/>
          <w:sz w:val="21"/>
          <w:szCs w:val="21"/>
          <w14:ligatures w14:val="none"/>
        </w:rPr>
        <w:t xml:space="preserve"> As initial initiatives conclude, TR can deepen stakeholder involvement in setting the next agenda. This could mean regular open forums (“Transformation Town Halls”) where any employee can pitch ideas or raise concerns directly to senior leadership, influencing the next strategy refresh. Or even employee representation on certain strategy committees. When people feel they have a voice in what the future looks like, their commitment to making it successful will be even stronger. Long-term, TR might aim for a </w:t>
      </w:r>
      <w:r w:rsidRPr="00F31A20">
        <w:rPr>
          <w:rFonts w:ascii="Segoe UI" w:eastAsia="Times New Roman" w:hAnsi="Segoe UI" w:cs="Segoe UI"/>
          <w:kern w:val="0"/>
          <w:sz w:val="21"/>
          <w:szCs w:val="21"/>
          <w14:ligatures w14:val="none"/>
        </w:rPr>
        <w:lastRenderedPageBreak/>
        <w:t xml:space="preserve">state where change is business-as-usual and not a distinct program – to do that, it needs employees to internalize continuous improvement as part of their job. Encouraging units to set their own transformation goals annually (with guidance, but bottom-up) can embed this practice. For instance, a customer ops team might annually target 10% efficiency gain via new tools </w:t>
      </w:r>
      <w:r w:rsidRPr="00F31A20">
        <w:rPr>
          <w:rFonts w:ascii="Segoe UI" w:eastAsia="Times New Roman" w:hAnsi="Segoe UI" w:cs="Segoe UI"/>
          <w:i/>
          <w:iCs/>
          <w:kern w:val="0"/>
          <w:sz w:val="21"/>
          <w:szCs w:val="21"/>
          <w14:ligatures w14:val="none"/>
        </w:rPr>
        <w:t>on their own initiative</w:t>
      </w:r>
      <w:r w:rsidRPr="00F31A20">
        <w:rPr>
          <w:rFonts w:ascii="Segoe UI" w:eastAsia="Times New Roman" w:hAnsi="Segoe UI" w:cs="Segoe UI"/>
          <w:kern w:val="0"/>
          <w:sz w:val="21"/>
          <w:szCs w:val="21"/>
          <w14:ligatures w14:val="none"/>
        </w:rPr>
        <w:t xml:space="preserve">, rather than waiting for a company-wide program. That level of proactivity is the </w:t>
      </w:r>
      <w:proofErr w:type="gramStart"/>
      <w:r w:rsidRPr="00F31A20">
        <w:rPr>
          <w:rFonts w:ascii="Segoe UI" w:eastAsia="Times New Roman" w:hAnsi="Segoe UI" w:cs="Segoe UI"/>
          <w:kern w:val="0"/>
          <w:sz w:val="21"/>
          <w:szCs w:val="21"/>
          <w14:ligatures w14:val="none"/>
        </w:rPr>
        <w:t>ultimate goal</w:t>
      </w:r>
      <w:proofErr w:type="gramEnd"/>
      <w:r w:rsidRPr="00F31A20">
        <w:rPr>
          <w:rFonts w:ascii="Segoe UI" w:eastAsia="Times New Roman" w:hAnsi="Segoe UI" w:cs="Segoe UI"/>
          <w:kern w:val="0"/>
          <w:sz w:val="21"/>
          <w:szCs w:val="21"/>
          <w14:ligatures w14:val="none"/>
        </w:rPr>
        <w:t xml:space="preserve"> of stakeholder readiness. Another long-term play: consider </w:t>
      </w:r>
      <w:r w:rsidRPr="00F31A20">
        <w:rPr>
          <w:rFonts w:ascii="Segoe UI" w:eastAsia="Times New Roman" w:hAnsi="Segoe UI" w:cs="Segoe UI"/>
          <w:b/>
          <w:bCs/>
          <w:kern w:val="0"/>
          <w:sz w:val="21"/>
          <w:szCs w:val="21"/>
          <w14:ligatures w14:val="none"/>
        </w:rPr>
        <w:t>employee financial participation</w:t>
      </w:r>
      <w:r w:rsidRPr="00F31A20">
        <w:rPr>
          <w:rFonts w:ascii="Segoe UI" w:eastAsia="Times New Roman" w:hAnsi="Segoe UI" w:cs="Segoe UI"/>
          <w:kern w:val="0"/>
          <w:sz w:val="21"/>
          <w:szCs w:val="21"/>
          <w14:ligatures w14:val="none"/>
        </w:rPr>
        <w:t xml:space="preserve"> to align interests – perhaps expanding stock ownership programs or profit-sharing related to transformation gains. If staff literally profit from efficiency improvements or growth spurred by transformation, they’ll be that much more invested (this might already be the case via bonus </w:t>
      </w:r>
      <w:proofErr w:type="gramStart"/>
      <w:r w:rsidRPr="00F31A20">
        <w:rPr>
          <w:rFonts w:ascii="Segoe UI" w:eastAsia="Times New Roman" w:hAnsi="Segoe UI" w:cs="Segoe UI"/>
          <w:kern w:val="0"/>
          <w:sz w:val="21"/>
          <w:szCs w:val="21"/>
          <w14:ligatures w14:val="none"/>
        </w:rPr>
        <w:t>schemes, but</w:t>
      </w:r>
      <w:proofErr w:type="gramEnd"/>
      <w:r w:rsidRPr="00F31A20">
        <w:rPr>
          <w:rFonts w:ascii="Segoe UI" w:eastAsia="Times New Roman" w:hAnsi="Segoe UI" w:cs="Segoe UI"/>
          <w:kern w:val="0"/>
          <w:sz w:val="21"/>
          <w:szCs w:val="21"/>
          <w14:ligatures w14:val="none"/>
        </w:rPr>
        <w:t xml:space="preserve"> making it explicit can motivate collective efforts).</w:t>
      </w:r>
    </w:p>
    <w:p w14:paraId="18516DF4"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Information Gaps &amp; Research Recommendations:</w:t>
      </w:r>
      <w:r w:rsidRPr="00F31A20">
        <w:rPr>
          <w:rFonts w:ascii="Segoe UI" w:eastAsia="Times New Roman" w:hAnsi="Segoe UI" w:cs="Segoe UI"/>
          <w:kern w:val="0"/>
          <w:sz w:val="21"/>
          <w:szCs w:val="21"/>
          <w14:ligatures w14:val="none"/>
        </w:rPr>
        <w:t xml:space="preserve"> To maintain and enhance internal support, TR should keep listening to its stakeholders and adapt accordingly. Conducting </w:t>
      </w:r>
      <w:r w:rsidRPr="00F31A20">
        <w:rPr>
          <w:rFonts w:ascii="Segoe UI" w:eastAsia="Times New Roman" w:hAnsi="Segoe UI" w:cs="Segoe UI"/>
          <w:b/>
          <w:bCs/>
          <w:kern w:val="0"/>
          <w:sz w:val="21"/>
          <w:szCs w:val="21"/>
          <w14:ligatures w14:val="none"/>
        </w:rPr>
        <w:t>frequent pulse surveys</w:t>
      </w:r>
      <w:r w:rsidRPr="00F31A20">
        <w:rPr>
          <w:rFonts w:ascii="Segoe UI" w:eastAsia="Times New Roman" w:hAnsi="Segoe UI" w:cs="Segoe UI"/>
          <w:kern w:val="0"/>
          <w:sz w:val="21"/>
          <w:szCs w:val="21"/>
          <w14:ligatures w14:val="none"/>
        </w:rPr>
        <w:t xml:space="preserve"> will catch any dips in sentiment quickly – e.g., if a particular region’s score on “I feel informed about changes” drops, targeted communication can be done there. Also, track </w:t>
      </w:r>
      <w:r w:rsidRPr="00F31A20">
        <w:rPr>
          <w:rFonts w:ascii="Segoe UI" w:eastAsia="Times New Roman" w:hAnsi="Segoe UI" w:cs="Segoe UI"/>
          <w:b/>
          <w:bCs/>
          <w:kern w:val="0"/>
          <w:sz w:val="21"/>
          <w:szCs w:val="21"/>
          <w14:ligatures w14:val="none"/>
        </w:rPr>
        <w:t>uptake of new tools by team</w:t>
      </w:r>
      <w:r w:rsidRPr="00F31A20">
        <w:rPr>
          <w:rFonts w:ascii="Segoe UI" w:eastAsia="Times New Roman" w:hAnsi="Segoe UI" w:cs="Segoe UI"/>
          <w:kern w:val="0"/>
          <w:sz w:val="21"/>
          <w:szCs w:val="21"/>
          <w14:ligatures w14:val="none"/>
        </w:rPr>
        <w:t xml:space="preserve"> to see if any pockets </w:t>
      </w:r>
      <w:proofErr w:type="gramStart"/>
      <w:r w:rsidRPr="00F31A20">
        <w:rPr>
          <w:rFonts w:ascii="Segoe UI" w:eastAsia="Times New Roman" w:hAnsi="Segoe UI" w:cs="Segoe UI"/>
          <w:kern w:val="0"/>
          <w:sz w:val="21"/>
          <w:szCs w:val="21"/>
          <w14:ligatures w14:val="none"/>
        </w:rPr>
        <w:t>lag behind</w:t>
      </w:r>
      <w:proofErr w:type="gramEnd"/>
      <w:r w:rsidRPr="00F31A20">
        <w:rPr>
          <w:rFonts w:ascii="Segoe UI" w:eastAsia="Times New Roman" w:hAnsi="Segoe UI" w:cs="Segoe UI"/>
          <w:kern w:val="0"/>
          <w:sz w:val="21"/>
          <w:szCs w:val="21"/>
          <w14:ligatures w14:val="none"/>
        </w:rPr>
        <w:t xml:space="preserve"> the norm – that could signal local resistance or inadequate training that needs remedy. Another gap to explore is </w:t>
      </w:r>
      <w:r w:rsidRPr="00F31A20">
        <w:rPr>
          <w:rFonts w:ascii="Segoe UI" w:eastAsia="Times New Roman" w:hAnsi="Segoe UI" w:cs="Segoe UI"/>
          <w:b/>
          <w:bCs/>
          <w:kern w:val="0"/>
          <w:sz w:val="21"/>
          <w:szCs w:val="21"/>
          <w14:ligatures w14:val="none"/>
        </w:rPr>
        <w:t>qualitative feedback</w:t>
      </w:r>
      <w:r w:rsidRPr="00F31A20">
        <w:rPr>
          <w:rFonts w:ascii="Segoe UI" w:eastAsia="Times New Roman" w:hAnsi="Segoe UI" w:cs="Segoe UI"/>
          <w:kern w:val="0"/>
          <w:sz w:val="21"/>
          <w:szCs w:val="21"/>
          <w14:ligatures w14:val="none"/>
        </w:rPr>
        <w:t xml:space="preserve">: running focus groups or interviews across different levels and functions can uncover nuanced issues that surveys don’t (for example, an employee might say they generally are positive, but they’re frustrated by a specific clunky interface introduced – a fixable detail that matters to their daily life). Ensuring a feedback loop where such input goes to the relevant transformation project team will tighten execution. It’s also useful to research </w:t>
      </w:r>
      <w:r w:rsidRPr="00F31A20">
        <w:rPr>
          <w:rFonts w:ascii="Segoe UI" w:eastAsia="Times New Roman" w:hAnsi="Segoe UI" w:cs="Segoe UI"/>
          <w:b/>
          <w:bCs/>
          <w:kern w:val="0"/>
          <w:sz w:val="21"/>
          <w:szCs w:val="21"/>
          <w14:ligatures w14:val="none"/>
        </w:rPr>
        <w:t>external perceptions of TR as an employer</w:t>
      </w:r>
      <w:r w:rsidRPr="00F31A20">
        <w:rPr>
          <w:rFonts w:ascii="Segoe UI" w:eastAsia="Times New Roman" w:hAnsi="Segoe UI" w:cs="Segoe UI"/>
          <w:kern w:val="0"/>
          <w:sz w:val="21"/>
          <w:szCs w:val="21"/>
          <w14:ligatures w14:val="none"/>
        </w:rPr>
        <w:t xml:space="preserve"> now vs. before – since the transformation, has TR become more attractive in talent markets? Metrics like employee referral rates or acceptance rates of offers can indirectly show stakeholder belief in the company’s direction (employees refer others when they’re confident in the company). TR could commission an employer brand study to quantify this. If positive, it’s a selling point to keep morale high (“look, people want to join us because of what we’re doing!”). If there are still issues (maybe in certain skill groups TR competes with flashy startups for talent), then TR knows where to bolster its story or offerings (perhaps more flexible work arrangements or modern tech stacks – though TR is largely doing that). Monitoring </w:t>
      </w:r>
      <w:r w:rsidRPr="00F31A20">
        <w:rPr>
          <w:rFonts w:ascii="Segoe UI" w:eastAsia="Times New Roman" w:hAnsi="Segoe UI" w:cs="Segoe UI"/>
          <w:b/>
          <w:bCs/>
          <w:kern w:val="0"/>
          <w:sz w:val="21"/>
          <w:szCs w:val="21"/>
          <w14:ligatures w14:val="none"/>
        </w:rPr>
        <w:t>internal networks (Yammer, intranet)</w:t>
      </w:r>
      <w:r w:rsidRPr="00F31A20">
        <w:rPr>
          <w:rFonts w:ascii="Segoe UI" w:eastAsia="Times New Roman" w:hAnsi="Segoe UI" w:cs="Segoe UI"/>
          <w:kern w:val="0"/>
          <w:sz w:val="21"/>
          <w:szCs w:val="21"/>
          <w14:ligatures w14:val="none"/>
        </w:rPr>
        <w:t xml:space="preserve"> sentiment by text analysis can also be insightful – are posts/comments trending more positive or negative over time? Are there recurrent concerns (like mentions of workload or unclear priorities) that leadership might need to address? Data-driven sentiment analysis could complement surveys by capturing unsolicited employee expressions. On training efficacy, TR should evaluate </w:t>
      </w:r>
      <w:r w:rsidRPr="00F31A20">
        <w:rPr>
          <w:rFonts w:ascii="Segoe UI" w:eastAsia="Times New Roman" w:hAnsi="Segoe UI" w:cs="Segoe UI"/>
          <w:b/>
          <w:bCs/>
          <w:kern w:val="0"/>
          <w:sz w:val="21"/>
          <w:szCs w:val="21"/>
          <w14:ligatures w14:val="none"/>
        </w:rPr>
        <w:t>skill development outcomes</w:t>
      </w:r>
      <w:r w:rsidRPr="00F31A20">
        <w:rPr>
          <w:rFonts w:ascii="Segoe UI" w:eastAsia="Times New Roman" w:hAnsi="Segoe UI" w:cs="Segoe UI"/>
          <w:kern w:val="0"/>
          <w:sz w:val="21"/>
          <w:szCs w:val="21"/>
          <w14:ligatures w14:val="none"/>
        </w:rPr>
        <w:t xml:space="preserve"> – beyond attendance, are employees </w:t>
      </w:r>
      <w:proofErr w:type="gramStart"/>
      <w:r w:rsidRPr="00F31A20">
        <w:rPr>
          <w:rFonts w:ascii="Segoe UI" w:eastAsia="Times New Roman" w:hAnsi="Segoe UI" w:cs="Segoe UI"/>
          <w:kern w:val="0"/>
          <w:sz w:val="21"/>
          <w:szCs w:val="21"/>
          <w14:ligatures w14:val="none"/>
        </w:rPr>
        <w:t>actually able</w:t>
      </w:r>
      <w:proofErr w:type="gramEnd"/>
      <w:r w:rsidRPr="00F31A20">
        <w:rPr>
          <w:rFonts w:ascii="Segoe UI" w:eastAsia="Times New Roman" w:hAnsi="Segoe UI" w:cs="Segoe UI"/>
          <w:kern w:val="0"/>
          <w:sz w:val="21"/>
          <w:szCs w:val="21"/>
          <w14:ligatures w14:val="none"/>
        </w:rPr>
        <w:t xml:space="preserve"> to perform new tasks? Testing or work performance indicators can validate that. If gaps exist (e.g., people took a course but still can’t run a certain analysis), retraining or different methods may be needed. Additionally, track </w:t>
      </w:r>
      <w:r w:rsidRPr="00F31A20">
        <w:rPr>
          <w:rFonts w:ascii="Segoe UI" w:eastAsia="Times New Roman" w:hAnsi="Segoe UI" w:cs="Segoe UI"/>
          <w:b/>
          <w:bCs/>
          <w:kern w:val="0"/>
          <w:sz w:val="21"/>
          <w:szCs w:val="21"/>
          <w14:ligatures w14:val="none"/>
        </w:rPr>
        <w:t>diversity and inclusion metrics</w:t>
      </w:r>
      <w:r w:rsidRPr="00F31A20">
        <w:rPr>
          <w:rFonts w:ascii="Segoe UI" w:eastAsia="Times New Roman" w:hAnsi="Segoe UI" w:cs="Segoe UI"/>
          <w:kern w:val="0"/>
          <w:sz w:val="21"/>
          <w:szCs w:val="21"/>
          <w14:ligatures w14:val="none"/>
        </w:rPr>
        <w:t xml:space="preserve">: sometimes during rapid change, underrepresented groups might feel less included if, say, “in-crowd” of tech-savvy folks dominate. Ensuring the transformation is inclusive (the AI Ambassador group had representation across regions, genders, etc., one hopes) is key to broad stakeholder support. If any such gap is identified (like women or certain geographies reporting </w:t>
      </w:r>
      <w:proofErr w:type="gramStart"/>
      <w:r w:rsidRPr="00F31A20">
        <w:rPr>
          <w:rFonts w:ascii="Segoe UI" w:eastAsia="Times New Roman" w:hAnsi="Segoe UI" w:cs="Segoe UI"/>
          <w:kern w:val="0"/>
          <w:sz w:val="21"/>
          <w:szCs w:val="21"/>
          <w14:ligatures w14:val="none"/>
        </w:rPr>
        <w:t>less</w:t>
      </w:r>
      <w:proofErr w:type="gramEnd"/>
      <w:r w:rsidRPr="00F31A20">
        <w:rPr>
          <w:rFonts w:ascii="Segoe UI" w:eastAsia="Times New Roman" w:hAnsi="Segoe UI" w:cs="Segoe UI"/>
          <w:kern w:val="0"/>
          <w:sz w:val="21"/>
          <w:szCs w:val="21"/>
          <w14:ligatures w14:val="none"/>
        </w:rPr>
        <w:t xml:space="preserve"> positive experiences), targeted initiatives (mentoring, additional support resources) could correct it. Essentially, TR should treat internal sentiment as a critical KPI – just as important as financial KPIs – and research it continuously with the same rigor it studies customer satisfaction. By doing so, it can quickly course-correct any softening of support and reinforce the strong internal coalition it has built for its transformation.</w:t>
      </w:r>
    </w:p>
    <w:p w14:paraId="06F3DCF8" w14:textId="77777777" w:rsidR="00F31A20" w:rsidRPr="00F31A20" w:rsidRDefault="00F31A20" w:rsidP="00F31A20">
      <w:pPr>
        <w:spacing w:before="100" w:beforeAutospacing="1" w:after="100" w:afterAutospacing="1" w:line="300" w:lineRule="atLeast"/>
        <w:rPr>
          <w:rFonts w:ascii="Segoe UI" w:eastAsia="Times New Roman" w:hAnsi="Segoe UI" w:cs="Segoe UI"/>
          <w:kern w:val="0"/>
          <w:sz w:val="21"/>
          <w:szCs w:val="21"/>
          <w14:ligatures w14:val="none"/>
        </w:rPr>
      </w:pPr>
      <w:r w:rsidRPr="00F31A20">
        <w:rPr>
          <w:rFonts w:ascii="Segoe UI" w:eastAsia="Times New Roman" w:hAnsi="Segoe UI" w:cs="Segoe UI"/>
          <w:b/>
          <w:bCs/>
          <w:kern w:val="0"/>
          <w:sz w:val="21"/>
          <w:szCs w:val="21"/>
          <w14:ligatures w14:val="none"/>
        </w:rPr>
        <w:t>Transformation Readiness Summary:</w:t>
      </w:r>
      <w:r w:rsidRPr="00F31A20">
        <w:rPr>
          <w:rFonts w:ascii="Segoe UI" w:eastAsia="Times New Roman" w:hAnsi="Segoe UI" w:cs="Segoe UI"/>
          <w:kern w:val="0"/>
          <w:sz w:val="21"/>
          <w:szCs w:val="21"/>
          <w14:ligatures w14:val="none"/>
        </w:rPr>
        <w:t xml:space="preserve"> Within Thomson Reuters, the human backbone of the organization has proven to be a powerful enabler of change rather than an impediment. Employees at all levels have transitioned from initial uncertainty to active contributors in the transformation, fueled by clear communication, extensive training, and a culture that rewards adaptability. The high engagement and generally positive sentiment are not by accident but the result of deliberate change management efforts that have paid off. Stakeholders feel valued and part of the journey – many have become change </w:t>
      </w:r>
      <w:proofErr w:type="gramStart"/>
      <w:r w:rsidRPr="00F31A20">
        <w:rPr>
          <w:rFonts w:ascii="Segoe UI" w:eastAsia="Times New Roman" w:hAnsi="Segoe UI" w:cs="Segoe UI"/>
          <w:kern w:val="0"/>
          <w:sz w:val="21"/>
          <w:szCs w:val="21"/>
          <w14:ligatures w14:val="none"/>
        </w:rPr>
        <w:t>agents in their own right</w:t>
      </w:r>
      <w:proofErr w:type="gramEnd"/>
      <w:r w:rsidRPr="00F31A20">
        <w:rPr>
          <w:rFonts w:ascii="Segoe UI" w:eastAsia="Times New Roman" w:hAnsi="Segoe UI" w:cs="Segoe UI"/>
          <w:kern w:val="0"/>
          <w:sz w:val="21"/>
          <w:szCs w:val="21"/>
          <w14:ligatures w14:val="none"/>
        </w:rPr>
        <w:t xml:space="preserve">. This collective buy-in dramatically increases the company’s ability to implement new strategies swiftly and effectively. There is a shared sense of purpose that TR is not just changing to survive, but to lead its industry forward, and that sense of mission is </w:t>
      </w:r>
      <w:r w:rsidRPr="00F31A20">
        <w:rPr>
          <w:rFonts w:ascii="Segoe UI" w:eastAsia="Times New Roman" w:hAnsi="Segoe UI" w:cs="Segoe UI"/>
          <w:kern w:val="0"/>
          <w:sz w:val="21"/>
          <w:szCs w:val="21"/>
          <w14:ligatures w14:val="none"/>
        </w:rPr>
        <w:lastRenderedPageBreak/>
        <w:t xml:space="preserve">infectious internally. While vigilance is needed to maintain this momentum and address any concerns that arise, the internal climate is one of optimism and resilience. In summary, Thomson Reuters’ internal stakeholders are largely </w:t>
      </w:r>
      <w:r w:rsidRPr="00F31A20">
        <w:rPr>
          <w:rFonts w:ascii="Segoe UI" w:eastAsia="Times New Roman" w:hAnsi="Segoe UI" w:cs="Segoe UI"/>
          <w:b/>
          <w:bCs/>
          <w:kern w:val="0"/>
          <w:sz w:val="21"/>
          <w:szCs w:val="21"/>
          <w14:ligatures w14:val="none"/>
        </w:rPr>
        <w:t>change-ready and change-capable</w:t>
      </w:r>
      <w:r w:rsidRPr="00F31A20">
        <w:rPr>
          <w:rFonts w:ascii="Segoe UI" w:eastAsia="Times New Roman" w:hAnsi="Segoe UI" w:cs="Segoe UI"/>
          <w:kern w:val="0"/>
          <w:sz w:val="21"/>
          <w:szCs w:val="21"/>
          <w14:ligatures w14:val="none"/>
        </w:rPr>
        <w:t>, which might be one of its greatest competitive advantages in a period where the only constant is change. The readiness and enthusiasm of its people form a sturdy foundation upon which all other aspects of the transformation can build, virtually ensuring that the technical and strategic changes will take root and flourish in the organization’s daily operations.</w:t>
      </w:r>
    </w:p>
    <w:p w14:paraId="5470D9D4" w14:textId="77777777" w:rsidR="00F31A20" w:rsidRPr="00F31A20" w:rsidRDefault="00F31A20" w:rsidP="00F31A20">
      <w:pPr>
        <w:spacing w:after="0" w:line="300" w:lineRule="atLeast"/>
        <w:rPr>
          <w:rFonts w:ascii="Segoe UI Semibold" w:eastAsia="Times New Roman" w:hAnsi="Segoe UI Semibold" w:cs="Segoe UI Semibold"/>
          <w:b/>
          <w:bCs/>
          <w:kern w:val="0"/>
          <w:sz w:val="18"/>
          <w:szCs w:val="18"/>
          <w14:ligatures w14:val="none"/>
        </w:rPr>
      </w:pPr>
      <w:r w:rsidRPr="00F31A20">
        <w:rPr>
          <w:rFonts w:ascii="Segoe UI Semibold" w:eastAsia="Times New Roman" w:hAnsi="Segoe UI Semibold" w:cs="Segoe UI Semibold"/>
          <w:b/>
          <w:bCs/>
          <w:kern w:val="0"/>
          <w:sz w:val="18"/>
          <w:szCs w:val="18"/>
          <w14:ligatures w14:val="none"/>
        </w:rPr>
        <w:br/>
        <w:t>References</w:t>
      </w:r>
    </w:p>
    <w:p w14:paraId="08617BA7"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[1] </w:t>
      </w:r>
      <w:hyperlink r:id="rId322" w:history="1">
        <w:r w:rsidRPr="00F31A20">
          <w:rPr>
            <w:rFonts w:ascii="Segoe UI" w:eastAsia="Times New Roman" w:hAnsi="Segoe UI" w:cs="Segoe UI"/>
            <w:color w:val="464FEB"/>
            <w:kern w:val="0"/>
            <w:sz w:val="21"/>
            <w:szCs w:val="21"/>
            <w14:ligatures w14:val="none"/>
          </w:rPr>
          <w:t>TR Corporate Deck_FINAL_June30_2023</w:t>
        </w:r>
      </w:hyperlink>
    </w:p>
    <w:p w14:paraId="1ED15CC8"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[2] </w:t>
      </w:r>
      <w:hyperlink r:id="rId323" w:history="1">
        <w:r w:rsidRPr="00F31A20">
          <w:rPr>
            <w:rFonts w:ascii="Segoe UI" w:eastAsia="Times New Roman" w:hAnsi="Segoe UI" w:cs="Segoe UI"/>
            <w:color w:val="464FEB"/>
            <w:kern w:val="0"/>
            <w:sz w:val="21"/>
            <w:szCs w:val="21"/>
            <w14:ligatures w14:val="none"/>
          </w:rPr>
          <w:t>Thomson Reuters Commercial Systems Assessment and Implementation Plan RFP</w:t>
        </w:r>
      </w:hyperlink>
    </w:p>
    <w:p w14:paraId="60E13773"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[3] </w:t>
      </w:r>
      <w:hyperlink r:id="rId324" w:history="1">
        <w:proofErr w:type="spellStart"/>
        <w:r w:rsidRPr="00F31A20">
          <w:rPr>
            <w:rFonts w:ascii="Segoe UI" w:eastAsia="Times New Roman" w:hAnsi="Segoe UI" w:cs="Segoe UI"/>
            <w:color w:val="464FEB"/>
            <w:kern w:val="0"/>
            <w:sz w:val="21"/>
            <w:szCs w:val="21"/>
            <w14:ligatures w14:val="none"/>
          </w:rPr>
          <w:t>thomson</w:t>
        </w:r>
        <w:proofErr w:type="spellEnd"/>
        <w:r w:rsidRPr="00F31A20">
          <w:rPr>
            <w:rFonts w:ascii="Segoe UI" w:eastAsia="Times New Roman" w:hAnsi="Segoe UI" w:cs="Segoe UI"/>
            <w:color w:val="464FEB"/>
            <w:kern w:val="0"/>
            <w:sz w:val="21"/>
            <w:szCs w:val="21"/>
            <w14:ligatures w14:val="none"/>
          </w:rPr>
          <w:t>-</w:t>
        </w:r>
        <w:proofErr w:type="spellStart"/>
        <w:r w:rsidRPr="00F31A20">
          <w:rPr>
            <w:rFonts w:ascii="Segoe UI" w:eastAsia="Times New Roman" w:hAnsi="Segoe UI" w:cs="Segoe UI"/>
            <w:color w:val="464FEB"/>
            <w:kern w:val="0"/>
            <w:sz w:val="21"/>
            <w:szCs w:val="21"/>
            <w14:ligatures w14:val="none"/>
          </w:rPr>
          <w:t>reuters</w:t>
        </w:r>
        <w:proofErr w:type="spellEnd"/>
        <w:r w:rsidRPr="00F31A20">
          <w:rPr>
            <w:rFonts w:ascii="Segoe UI" w:eastAsia="Times New Roman" w:hAnsi="Segoe UI" w:cs="Segoe UI"/>
            <w:color w:val="464FEB"/>
            <w:kern w:val="0"/>
            <w:sz w:val="21"/>
            <w:szCs w:val="21"/>
            <w14:ligatures w14:val="none"/>
          </w:rPr>
          <w:t>-</w:t>
        </w:r>
        <w:proofErr w:type="spellStart"/>
        <w:r w:rsidRPr="00F31A20">
          <w:rPr>
            <w:rFonts w:ascii="Segoe UI" w:eastAsia="Times New Roman" w:hAnsi="Segoe UI" w:cs="Segoe UI"/>
            <w:color w:val="464FEB"/>
            <w:kern w:val="0"/>
            <w:sz w:val="21"/>
            <w:szCs w:val="21"/>
            <w14:ligatures w14:val="none"/>
          </w:rPr>
          <w:t>westlaw</w:t>
        </w:r>
        <w:proofErr w:type="spellEnd"/>
        <w:r w:rsidRPr="00F31A20">
          <w:rPr>
            <w:rFonts w:ascii="Segoe UI" w:eastAsia="Times New Roman" w:hAnsi="Segoe UI" w:cs="Segoe UI"/>
            <w:color w:val="464FEB"/>
            <w:kern w:val="0"/>
            <w:sz w:val="21"/>
            <w:szCs w:val="21"/>
            <w14:ligatures w14:val="none"/>
          </w:rPr>
          <w:t>-</w:t>
        </w:r>
        <w:proofErr w:type="spellStart"/>
        <w:r w:rsidRPr="00F31A20">
          <w:rPr>
            <w:rFonts w:ascii="Segoe UI" w:eastAsia="Times New Roman" w:hAnsi="Segoe UI" w:cs="Segoe UI"/>
            <w:color w:val="464FEB"/>
            <w:kern w:val="0"/>
            <w:sz w:val="21"/>
            <w:szCs w:val="21"/>
            <w14:ligatures w14:val="none"/>
          </w:rPr>
          <w:t>anz</w:t>
        </w:r>
        <w:proofErr w:type="spellEnd"/>
        <w:r w:rsidRPr="00F31A20">
          <w:rPr>
            <w:rFonts w:ascii="Segoe UI" w:eastAsia="Times New Roman" w:hAnsi="Segoe UI" w:cs="Segoe UI"/>
            <w:color w:val="464FEB"/>
            <w:kern w:val="0"/>
            <w:sz w:val="21"/>
            <w:szCs w:val="21"/>
            <w14:ligatures w14:val="none"/>
          </w:rPr>
          <w:t>-security-summary</w:t>
        </w:r>
      </w:hyperlink>
    </w:p>
    <w:p w14:paraId="3B192BF7"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[4] </w:t>
      </w:r>
      <w:hyperlink r:id="rId325" w:history="1">
        <w:r w:rsidRPr="00F31A20">
          <w:rPr>
            <w:rFonts w:ascii="Segoe UI" w:eastAsia="Times New Roman" w:hAnsi="Segoe UI" w:cs="Segoe UI"/>
            <w:color w:val="464FEB"/>
            <w:kern w:val="0"/>
            <w:sz w:val="21"/>
            <w:szCs w:val="21"/>
            <w14:ligatures w14:val="none"/>
          </w:rPr>
          <w:t>Thomson Reuters - Positioning Workshop_</w:t>
        </w:r>
      </w:hyperlink>
    </w:p>
    <w:p w14:paraId="4FB87FDE"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[5] </w:t>
      </w:r>
      <w:hyperlink r:id="rId326" w:history="1">
        <w:r w:rsidRPr="00F31A20">
          <w:rPr>
            <w:rFonts w:ascii="Segoe UI" w:eastAsia="Times New Roman" w:hAnsi="Segoe UI" w:cs="Segoe UI"/>
            <w:color w:val="464FEB"/>
            <w:kern w:val="0"/>
            <w:sz w:val="21"/>
            <w:szCs w:val="21"/>
            <w14:ligatures w14:val="none"/>
          </w:rPr>
          <w:t>1-General FAQ v1.0</w:t>
        </w:r>
      </w:hyperlink>
    </w:p>
    <w:p w14:paraId="740E3905"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[6] </w:t>
      </w:r>
      <w:hyperlink r:id="rId327" w:history="1">
        <w:r w:rsidRPr="00F31A20">
          <w:rPr>
            <w:rFonts w:ascii="Segoe UI" w:eastAsia="Times New Roman" w:hAnsi="Segoe UI" w:cs="Segoe UI"/>
            <w:color w:val="464FEB"/>
            <w:kern w:val="0"/>
            <w:sz w:val="21"/>
            <w:szCs w:val="21"/>
            <w14:ligatures w14:val="none"/>
          </w:rPr>
          <w:t>Thomson Reuters Competitors List 2025</w:t>
        </w:r>
      </w:hyperlink>
    </w:p>
    <w:p w14:paraId="60AE58B2"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[7] </w:t>
      </w:r>
      <w:hyperlink r:id="rId328" w:history="1">
        <w:r w:rsidRPr="00F31A20">
          <w:rPr>
            <w:rFonts w:ascii="Segoe UI" w:eastAsia="Times New Roman" w:hAnsi="Segoe UI" w:cs="Segoe UI"/>
            <w:color w:val="464FEB"/>
            <w:kern w:val="0"/>
            <w:sz w:val="21"/>
            <w:szCs w:val="21"/>
            <w14:ligatures w14:val="none"/>
          </w:rPr>
          <w:t>Thomson Reuters Company Overview 2021</w:t>
        </w:r>
      </w:hyperlink>
    </w:p>
    <w:p w14:paraId="1B8D8373"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[8] </w:t>
      </w:r>
      <w:hyperlink r:id="rId329" w:history="1">
        <w:r w:rsidRPr="00F31A20">
          <w:rPr>
            <w:rFonts w:ascii="Segoe UI" w:eastAsia="Times New Roman" w:hAnsi="Segoe UI" w:cs="Segoe UI"/>
            <w:color w:val="464FEB"/>
            <w:kern w:val="0"/>
            <w:sz w:val="21"/>
            <w:szCs w:val="21"/>
            <w14:ligatures w14:val="none"/>
          </w:rPr>
          <w:t>Thomson Reuters Competitive Intelligence Briefing_</w:t>
        </w:r>
      </w:hyperlink>
    </w:p>
    <w:p w14:paraId="1EF8A401" w14:textId="77777777" w:rsidR="00F31A20" w:rsidRPr="00F31A20" w:rsidRDefault="00F31A20" w:rsidP="00F31A20">
      <w:pPr>
        <w:spacing w:after="0" w:line="300" w:lineRule="atLeast"/>
        <w:rPr>
          <w:rFonts w:ascii="Segoe UI" w:eastAsia="Times New Roman" w:hAnsi="Segoe UI" w:cs="Segoe UI"/>
          <w:kern w:val="0"/>
          <w:sz w:val="21"/>
          <w:szCs w:val="21"/>
          <w14:ligatures w14:val="none"/>
        </w:rPr>
      </w:pPr>
      <w:r w:rsidRPr="00F31A20">
        <w:rPr>
          <w:rFonts w:ascii="Segoe UI" w:eastAsia="Times New Roman" w:hAnsi="Segoe UI" w:cs="Segoe UI"/>
          <w:kern w:val="0"/>
          <w:sz w:val="21"/>
          <w:szCs w:val="21"/>
          <w14:ligatures w14:val="none"/>
        </w:rPr>
        <w:t xml:space="preserve">[9] </w:t>
      </w:r>
      <w:hyperlink r:id="rId330" w:history="1">
        <w:r w:rsidRPr="00F31A20">
          <w:rPr>
            <w:rFonts w:ascii="Segoe UI" w:eastAsia="Times New Roman" w:hAnsi="Segoe UI" w:cs="Segoe UI"/>
            <w:color w:val="464FEB"/>
            <w:kern w:val="0"/>
            <w:sz w:val="21"/>
            <w:szCs w:val="21"/>
            <w14:ligatures w14:val="none"/>
          </w:rPr>
          <w:t>FAQ for Thomson Reuters and Microsoft Announcement (1)</w:t>
        </w:r>
      </w:hyperlink>
    </w:p>
    <w:p w14:paraId="16DCCF33" w14:textId="77777777" w:rsidR="00F31A20" w:rsidRDefault="00F31A20"/>
    <w:p w14:paraId="1FA4CEE2" w14:textId="54C14A5D" w:rsidR="004A6C77" w:rsidRPr="00F31A20" w:rsidRDefault="004A6C77" w:rsidP="004A6C7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Pr>
          <w:rFonts w:ascii="Segoe UI" w:eastAsia="Times New Roman" w:hAnsi="Segoe UI" w:cs="Segoe UI"/>
          <w:b/>
          <w:bCs/>
          <w:kern w:val="0"/>
          <w:sz w:val="36"/>
          <w:szCs w:val="36"/>
          <w14:ligatures w14:val="none"/>
        </w:rPr>
        <w:t>SUMMARY</w:t>
      </w:r>
    </w:p>
    <w:p w14:paraId="31696B57" w14:textId="26E13CA5"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Corporate Identity &amp; Strategy:</w:t>
      </w:r>
      <w:r w:rsidRPr="004A6C77">
        <w:rPr>
          <w:rFonts w:ascii="Segoe UI" w:eastAsia="Times New Roman" w:hAnsi="Segoe UI" w:cs="Segoe UI"/>
          <w:kern w:val="0"/>
          <w:sz w:val="21"/>
          <w:szCs w:val="21"/>
          <w14:ligatures w14:val="none"/>
        </w:rPr>
        <w:t xml:space="preserve"> Transformed from a decentralized holding company into an integrated operating company centered on three customer segments (Legal, Tax &amp; Accounting, Corporates) under a clear “content-driven technology” vision. Leadership communication and the Trust Principles reinforce a unified, customer-centric culture that embraces innovation without compromising Thomson Reuters’ legacy of integrity.</w:t>
      </w:r>
    </w:p>
    <w:p w14:paraId="3447BC4D"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Business Model Evolution:</w:t>
      </w:r>
      <w:r w:rsidRPr="004A6C77">
        <w:rPr>
          <w:rFonts w:ascii="Segoe UI" w:eastAsia="Times New Roman" w:hAnsi="Segoe UI" w:cs="Segoe UI"/>
          <w:kern w:val="0"/>
          <w:sz w:val="21"/>
          <w:szCs w:val="21"/>
          <w14:ligatures w14:val="none"/>
        </w:rPr>
        <w:t xml:space="preserve"> Shifting from primarily selling information toward providing end-to-end workflow solutions. ~80% of revenues are now recurring subscriptions, giving stability to invest in SaaS and AI-enabled offerings. The company is phasing out legacy print (~8% of revenue and declining) in favor of online services, bundling products (e.g. Westlaw + Practical Law + HighQ) to increase customer value and exploring usage-based or outcome-based pricing for premium AI features.</w:t>
      </w:r>
    </w:p>
    <w:p w14:paraId="3F0FABB1"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Organization &amp; Talent:</w:t>
      </w:r>
      <w:r w:rsidRPr="004A6C77">
        <w:rPr>
          <w:rFonts w:ascii="Segoe UI" w:eastAsia="Times New Roman" w:hAnsi="Segoe UI" w:cs="Segoe UI"/>
          <w:kern w:val="0"/>
          <w:sz w:val="21"/>
          <w:szCs w:val="21"/>
          <w14:ligatures w14:val="none"/>
        </w:rPr>
        <w:t xml:space="preserve"> Reorganized structure with centralized Operations &amp; Technology and segment-focused business units has broken silos. Heavy upskilling is underway – over 11,000 employees (~42% of staff) completed AI </w:t>
      </w:r>
      <w:proofErr w:type="gramStart"/>
      <w:r w:rsidRPr="004A6C77">
        <w:rPr>
          <w:rFonts w:ascii="Segoe UI" w:eastAsia="Times New Roman" w:hAnsi="Segoe UI" w:cs="Segoe UI"/>
          <w:kern w:val="0"/>
          <w:sz w:val="21"/>
          <w:szCs w:val="21"/>
          <w14:ligatures w14:val="none"/>
        </w:rPr>
        <w:t>training</w:t>
      </w:r>
      <w:proofErr w:type="gramEnd"/>
      <w:r w:rsidRPr="004A6C77">
        <w:rPr>
          <w:rFonts w:ascii="Segoe UI" w:eastAsia="Times New Roman" w:hAnsi="Segoe UI" w:cs="Segoe UI"/>
          <w:kern w:val="0"/>
          <w:sz w:val="21"/>
          <w:szCs w:val="21"/>
          <w14:ligatures w14:val="none"/>
        </w:rPr>
        <w:t xml:space="preserve"> and an internal network of 400+ “AI Champions” drives grassroots innovation and skill-sharing. New roles (e.g. Chief Customer Officer, segment AI leads) and agile team models are fostering cross-functional collaboration, though continued focus on middle-management training is needed to sustain momentum.</w:t>
      </w:r>
    </w:p>
    <w:p w14:paraId="573A7759"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Operational Processes:</w:t>
      </w:r>
      <w:r w:rsidRPr="004A6C77">
        <w:rPr>
          <w:rFonts w:ascii="Segoe UI" w:eastAsia="Times New Roman" w:hAnsi="Segoe UI" w:cs="Segoe UI"/>
          <w:kern w:val="0"/>
          <w:sz w:val="21"/>
          <w:szCs w:val="21"/>
          <w14:ligatures w14:val="none"/>
        </w:rPr>
        <w:t xml:space="preserve"> Major simplification and standardization efforts have optimized workflows enterprise-wide. The company retired redundant systems (e.g. consolidating 15+ billing platforms into one) and implemented end-to-end processes: for example, a single global order-to-cash and customer support platform now serves all segments. Lean Six Sigma and automation projects have eliminated waste – bots now handle routine data entry and content updates, cutting cycle times by 15%+ in some publishing processes and improving service response rates (first-contact resolution up substantially since introducing an AI-driven support chatbot)</w:t>
      </w:r>
      <w:hyperlink r:id="rId331" w:history="1">
        <w:r w:rsidRPr="004A6C77">
          <w:rPr>
            <w:rFonts w:ascii="Segoe UI" w:eastAsia="Times New Roman" w:hAnsi="Segoe UI" w:cs="Segoe UI"/>
            <w:color w:val="464FEB"/>
            <w:kern w:val="0"/>
            <w:sz w:val="21"/>
            <w:szCs w:val="21"/>
            <w14:ligatures w14:val="none"/>
          </w:rPr>
          <w:t>[1]</w:t>
        </w:r>
      </w:hyperlink>
      <w:hyperlink r:id="rId332" w:history="1">
        <w:r w:rsidRPr="004A6C77">
          <w:rPr>
            <w:rFonts w:ascii="Segoe UI" w:eastAsia="Times New Roman" w:hAnsi="Segoe UI" w:cs="Segoe UI"/>
            <w:color w:val="464FEB"/>
            <w:kern w:val="0"/>
            <w:sz w:val="21"/>
            <w:szCs w:val="21"/>
            <w14:ligatures w14:val="none"/>
          </w:rPr>
          <w:t>[2]</w:t>
        </w:r>
      </w:hyperlink>
      <w:r w:rsidRPr="004A6C77">
        <w:rPr>
          <w:rFonts w:ascii="Segoe UI" w:eastAsia="Times New Roman" w:hAnsi="Segoe UI" w:cs="Segoe UI"/>
          <w:kern w:val="0"/>
          <w:sz w:val="21"/>
          <w:szCs w:val="21"/>
          <w14:ligatures w14:val="none"/>
        </w:rPr>
        <w:t>.</w:t>
      </w:r>
    </w:p>
    <w:p w14:paraId="79016732"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Technology Modernization:</w:t>
      </w:r>
      <w:r w:rsidRPr="004A6C77">
        <w:rPr>
          <w:rFonts w:ascii="Segoe UI" w:eastAsia="Times New Roman" w:hAnsi="Segoe UI" w:cs="Segoe UI"/>
          <w:kern w:val="0"/>
          <w:sz w:val="21"/>
          <w:szCs w:val="21"/>
          <w14:ligatures w14:val="none"/>
        </w:rPr>
        <w:t xml:space="preserve"> Exited legacy data centers and achieved nearly 100% cloud deployment of products and internal systems. Most products (Westlaw, ONESOURCE, etc.) have been re-platformed to scalable cloud architectures, improving release frequency and resilience. A unified tech stack now supports shared services like a single sign-on (TR Account) for all customer platforms, which has reduced user friction (e.g. 30% </w:t>
      </w:r>
      <w:r w:rsidRPr="004A6C77">
        <w:rPr>
          <w:rFonts w:ascii="Segoe UI" w:eastAsia="Times New Roman" w:hAnsi="Segoe UI" w:cs="Segoe UI"/>
          <w:kern w:val="0"/>
          <w:sz w:val="21"/>
          <w:szCs w:val="21"/>
          <w14:ligatures w14:val="none"/>
        </w:rPr>
        <w:lastRenderedPageBreak/>
        <w:t>fewer support tickets related to login issues after implementation)</w:t>
      </w:r>
      <w:hyperlink r:id="rId333" w:history="1">
        <w:r w:rsidRPr="004A6C77">
          <w:rPr>
            <w:rFonts w:ascii="Segoe UI" w:eastAsia="Times New Roman" w:hAnsi="Segoe UI" w:cs="Segoe UI"/>
            <w:color w:val="464FEB"/>
            <w:kern w:val="0"/>
            <w:sz w:val="21"/>
            <w:szCs w:val="21"/>
            <w14:ligatures w14:val="none"/>
          </w:rPr>
          <w:t>[3]</w:t>
        </w:r>
      </w:hyperlink>
      <w:r w:rsidRPr="004A6C77">
        <w:rPr>
          <w:rFonts w:ascii="Segoe UI" w:eastAsia="Times New Roman" w:hAnsi="Segoe UI" w:cs="Segoe UI"/>
          <w:kern w:val="0"/>
          <w:sz w:val="21"/>
          <w:szCs w:val="21"/>
          <w14:ligatures w14:val="none"/>
        </w:rPr>
        <w:t>. Common data lakes and API frameworks enable easier integration of content and functionality across solutions, positioning TR to act as an open platform for partners and clients.</w:t>
      </w:r>
    </w:p>
    <w:p w14:paraId="45E0EF83"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Data &amp; Analytics Foundation:</w:t>
      </w:r>
      <w:r w:rsidRPr="004A6C77">
        <w:rPr>
          <w:rFonts w:ascii="Segoe UI" w:eastAsia="Times New Roman" w:hAnsi="Segoe UI" w:cs="Segoe UI"/>
          <w:kern w:val="0"/>
          <w:sz w:val="21"/>
          <w:szCs w:val="21"/>
          <w14:ligatures w14:val="none"/>
        </w:rPr>
        <w:t xml:space="preserve"> Built a robust enterprise data architecture – consolidated previously siloed databases into unified data lakes and warehouses. This provides a single source of truth for customer and product data, powering new analytics and AI. For instance, integrated customer data now allows 360° client dashboards and predictive churn models, and combined content datasets fuel advanced analytics (like litigation outcome predictors) that competitors without such breadth cannot easily replicate. Data quality and governance have been strengthened (enterprise data catalog, model governance committee), ensuring that as data is shared and reused across the business, it remains accurate and compliant</w:t>
      </w:r>
      <w:hyperlink r:id="rId334" w:history="1">
        <w:r w:rsidRPr="004A6C77">
          <w:rPr>
            <w:rFonts w:ascii="Segoe UI" w:eastAsia="Times New Roman" w:hAnsi="Segoe UI" w:cs="Segoe UI"/>
            <w:color w:val="464FEB"/>
            <w:kern w:val="0"/>
            <w:sz w:val="21"/>
            <w:szCs w:val="21"/>
            <w14:ligatures w14:val="none"/>
          </w:rPr>
          <w:t>[4]</w:t>
        </w:r>
      </w:hyperlink>
      <w:r w:rsidRPr="004A6C77">
        <w:rPr>
          <w:rFonts w:ascii="Segoe UI" w:eastAsia="Times New Roman" w:hAnsi="Segoe UI" w:cs="Segoe UI"/>
          <w:kern w:val="0"/>
          <w:sz w:val="21"/>
          <w:szCs w:val="21"/>
          <w14:ligatures w14:val="none"/>
        </w:rPr>
        <w:t>.</w:t>
      </w:r>
    </w:p>
    <w:p w14:paraId="6151424A"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AI &amp; Automation Integration:</w:t>
      </w:r>
      <w:r w:rsidRPr="004A6C77">
        <w:rPr>
          <w:rFonts w:ascii="Segoe UI" w:eastAsia="Times New Roman" w:hAnsi="Segoe UI" w:cs="Segoe UI"/>
          <w:kern w:val="0"/>
          <w:sz w:val="21"/>
          <w:szCs w:val="21"/>
          <w14:ligatures w14:val="none"/>
        </w:rPr>
        <w:t xml:space="preserve"> Thomson Reuters invested over $100M annually in AI, embedding it across products and internal workflows. It launched proprietary </w:t>
      </w:r>
      <w:r w:rsidRPr="004A6C77">
        <w:rPr>
          <w:rFonts w:ascii="Segoe UI" w:eastAsia="Times New Roman" w:hAnsi="Segoe UI" w:cs="Segoe UI"/>
          <w:b/>
          <w:bCs/>
          <w:kern w:val="0"/>
          <w:sz w:val="21"/>
          <w:szCs w:val="21"/>
          <w14:ligatures w14:val="none"/>
        </w:rPr>
        <w:t>generative AI applications</w:t>
      </w:r>
      <w:r w:rsidRPr="004A6C77">
        <w:rPr>
          <w:rFonts w:ascii="Segoe UI" w:eastAsia="Times New Roman" w:hAnsi="Segoe UI" w:cs="Segoe UI"/>
          <w:kern w:val="0"/>
          <w:sz w:val="21"/>
          <w:szCs w:val="21"/>
          <w14:ligatures w14:val="none"/>
        </w:rPr>
        <w:t xml:space="preserve"> (notably </w:t>
      </w:r>
      <w:proofErr w:type="spellStart"/>
      <w:r w:rsidRPr="004A6C77">
        <w:rPr>
          <w:rFonts w:ascii="Segoe UI" w:eastAsia="Times New Roman" w:hAnsi="Segoe UI" w:cs="Segoe UI"/>
          <w:b/>
          <w:bCs/>
          <w:kern w:val="0"/>
          <w:sz w:val="21"/>
          <w:szCs w:val="21"/>
          <w14:ligatures w14:val="none"/>
        </w:rPr>
        <w:t>CoCounsel</w:t>
      </w:r>
      <w:proofErr w:type="spellEnd"/>
      <w:r w:rsidRPr="004A6C77">
        <w:rPr>
          <w:rFonts w:ascii="Segoe UI" w:eastAsia="Times New Roman" w:hAnsi="Segoe UI" w:cs="Segoe UI"/>
          <w:kern w:val="0"/>
          <w:sz w:val="21"/>
          <w:szCs w:val="21"/>
          <w14:ligatures w14:val="none"/>
        </w:rPr>
        <w:t>, an AI legal assistant) that leverage TR’s unique content to help professionals draft documents and answer complex queries more efficiently. Internally, machine learning models and RPA bots automate routine tasks – from invoice processing to transcript summarization – freeing employees for higher-value work. An AI Steering Committee oversees responsible AI use (e.g. bias testing, source citation requirements), aligning with TR’s trusted brand. The net effect is improved productivity (many teams report substantial time savings on routine tasks) and an AI-enriched value proposition for clients (e.g. Westlaw Precision users perform research ~30% faster with AI assistance)</w:t>
      </w:r>
      <w:hyperlink r:id="rId335" w:history="1">
        <w:r w:rsidRPr="004A6C77">
          <w:rPr>
            <w:rFonts w:ascii="Segoe UI" w:eastAsia="Times New Roman" w:hAnsi="Segoe UI" w:cs="Segoe UI"/>
            <w:color w:val="464FEB"/>
            <w:kern w:val="0"/>
            <w:sz w:val="21"/>
            <w:szCs w:val="21"/>
            <w14:ligatures w14:val="none"/>
          </w:rPr>
          <w:t>[1]</w:t>
        </w:r>
      </w:hyperlink>
      <w:r w:rsidRPr="004A6C77">
        <w:rPr>
          <w:rFonts w:ascii="Segoe UI" w:eastAsia="Times New Roman" w:hAnsi="Segoe UI" w:cs="Segoe UI"/>
          <w:kern w:val="0"/>
          <w:sz w:val="21"/>
          <w:szCs w:val="21"/>
          <w14:ligatures w14:val="none"/>
        </w:rPr>
        <w:t>.</w:t>
      </w:r>
    </w:p>
    <w:p w14:paraId="0568F896"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Customer Experience &amp; Service:</w:t>
      </w:r>
      <w:r w:rsidRPr="004A6C77">
        <w:rPr>
          <w:rFonts w:ascii="Segoe UI" w:eastAsia="Times New Roman" w:hAnsi="Segoe UI" w:cs="Segoe UI"/>
          <w:kern w:val="0"/>
          <w:sz w:val="21"/>
          <w:szCs w:val="21"/>
          <w14:ligatures w14:val="none"/>
        </w:rPr>
        <w:t xml:space="preserve"> Strong push toward a seamless, omni-channel customer experience. Thomson Reuters unified and redesigned client touchpoints – </w:t>
      </w:r>
      <w:r w:rsidRPr="004A6C77">
        <w:rPr>
          <w:rFonts w:ascii="Segoe UI" w:eastAsia="Times New Roman" w:hAnsi="Segoe UI" w:cs="Segoe UI"/>
          <w:b/>
          <w:bCs/>
          <w:kern w:val="0"/>
          <w:sz w:val="21"/>
          <w:szCs w:val="21"/>
          <w14:ligatures w14:val="none"/>
        </w:rPr>
        <w:t>one support organization and platform</w:t>
      </w:r>
      <w:r w:rsidRPr="004A6C77">
        <w:rPr>
          <w:rFonts w:ascii="Segoe UI" w:eastAsia="Times New Roman" w:hAnsi="Segoe UI" w:cs="Segoe UI"/>
          <w:kern w:val="0"/>
          <w:sz w:val="21"/>
          <w:szCs w:val="21"/>
          <w14:ligatures w14:val="none"/>
        </w:rPr>
        <w:t xml:space="preserve"> now handles all inquiries, providing consistent 24/7 service with AI chatbots handling ~15% of volume (and escalating complex issues to humans)</w:t>
      </w:r>
      <w:hyperlink r:id="rId336" w:history="1">
        <w:r w:rsidRPr="004A6C77">
          <w:rPr>
            <w:rFonts w:ascii="Segoe UI" w:eastAsia="Times New Roman" w:hAnsi="Segoe UI" w:cs="Segoe UI"/>
            <w:color w:val="464FEB"/>
            <w:kern w:val="0"/>
            <w:sz w:val="21"/>
            <w:szCs w:val="21"/>
            <w14:ligatures w14:val="none"/>
          </w:rPr>
          <w:t>[2]</w:t>
        </w:r>
      </w:hyperlink>
      <w:r w:rsidRPr="004A6C77">
        <w:rPr>
          <w:rFonts w:ascii="Segoe UI" w:eastAsia="Times New Roman" w:hAnsi="Segoe UI" w:cs="Segoe UI"/>
          <w:kern w:val="0"/>
          <w:sz w:val="21"/>
          <w:szCs w:val="21"/>
          <w14:ligatures w14:val="none"/>
        </w:rPr>
        <w:t xml:space="preserve">. It revamped digital channels: a modernized </w:t>
      </w:r>
      <w:r w:rsidRPr="004A6C77">
        <w:rPr>
          <w:rFonts w:ascii="Segoe UI" w:eastAsia="Times New Roman" w:hAnsi="Segoe UI" w:cs="Segoe UI"/>
          <w:b/>
          <w:bCs/>
          <w:kern w:val="0"/>
          <w:sz w:val="21"/>
          <w:szCs w:val="21"/>
          <w14:ligatures w14:val="none"/>
        </w:rPr>
        <w:t>Reuters.com</w:t>
      </w:r>
      <w:r w:rsidRPr="004A6C77">
        <w:rPr>
          <w:rFonts w:ascii="Segoe UI" w:eastAsia="Times New Roman" w:hAnsi="Segoe UI" w:cs="Segoe UI"/>
          <w:kern w:val="0"/>
          <w:sz w:val="21"/>
          <w:szCs w:val="21"/>
          <w14:ligatures w14:val="none"/>
        </w:rPr>
        <w:t xml:space="preserve"> and new self-service portals for products have driven increased online engagement and sales (double-digit growth in e-commerce transactions post-launch). The focus is on delivering an end-to-end journey: for instance, clients can trial, purchase, onboard, and get support for a software solution entirely online, a shift that both lowers cost-to-serve and meets market demand for convenience. Client feedback scores (NPS) have risen in all segments as pain points like multiple logins and fragmented account management were addressed</w:t>
      </w:r>
      <w:hyperlink r:id="rId337" w:history="1">
        <w:r w:rsidRPr="004A6C77">
          <w:rPr>
            <w:rFonts w:ascii="Segoe UI" w:eastAsia="Times New Roman" w:hAnsi="Segoe UI" w:cs="Segoe UI"/>
            <w:color w:val="464FEB"/>
            <w:kern w:val="0"/>
            <w:sz w:val="21"/>
            <w:szCs w:val="21"/>
            <w14:ligatures w14:val="none"/>
          </w:rPr>
          <w:t>[3]</w:t>
        </w:r>
      </w:hyperlink>
      <w:hyperlink r:id="rId338" w:history="1">
        <w:r w:rsidRPr="004A6C77">
          <w:rPr>
            <w:rFonts w:ascii="Segoe UI" w:eastAsia="Times New Roman" w:hAnsi="Segoe UI" w:cs="Segoe UI"/>
            <w:color w:val="464FEB"/>
            <w:kern w:val="0"/>
            <w:sz w:val="21"/>
            <w:szCs w:val="21"/>
            <w14:ligatures w14:val="none"/>
          </w:rPr>
          <w:t>[5]</w:t>
        </w:r>
      </w:hyperlink>
      <w:r w:rsidRPr="004A6C77">
        <w:rPr>
          <w:rFonts w:ascii="Segoe UI" w:eastAsia="Times New Roman" w:hAnsi="Segoe UI" w:cs="Segoe UI"/>
          <w:kern w:val="0"/>
          <w:sz w:val="21"/>
          <w:szCs w:val="21"/>
          <w14:ligatures w14:val="none"/>
        </w:rPr>
        <w:t>.</w:t>
      </w:r>
    </w:p>
    <w:p w14:paraId="271554F5"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Vendor &amp; Partner Ecosystem:</w:t>
      </w:r>
      <w:r w:rsidRPr="004A6C77">
        <w:rPr>
          <w:rFonts w:ascii="Segoe UI" w:eastAsia="Times New Roman" w:hAnsi="Segoe UI" w:cs="Segoe UI"/>
          <w:kern w:val="0"/>
          <w:sz w:val="21"/>
          <w:szCs w:val="21"/>
          <w14:ligatures w14:val="none"/>
        </w:rPr>
        <w:t xml:space="preserve"> The company rationalized its vendor base and forged strategic partnerships to accelerate transformation. It reduced the number of vendors by ~20%, negotiating enterprise contracts that yielded significant cost savings and consistency in service levels</w:t>
      </w:r>
      <w:hyperlink r:id="rId339" w:history="1">
        <w:r w:rsidRPr="004A6C77">
          <w:rPr>
            <w:rFonts w:ascii="Segoe UI" w:eastAsia="Times New Roman" w:hAnsi="Segoe UI" w:cs="Segoe UI"/>
            <w:color w:val="464FEB"/>
            <w:kern w:val="0"/>
            <w:sz w:val="21"/>
            <w:szCs w:val="21"/>
            <w14:ligatures w14:val="none"/>
          </w:rPr>
          <w:t>[6]</w:t>
        </w:r>
      </w:hyperlink>
      <w:r w:rsidRPr="004A6C77">
        <w:rPr>
          <w:rFonts w:ascii="Segoe UI" w:eastAsia="Times New Roman" w:hAnsi="Segoe UI" w:cs="Segoe UI"/>
          <w:kern w:val="0"/>
          <w:sz w:val="21"/>
          <w:szCs w:val="21"/>
          <w14:ligatures w14:val="none"/>
        </w:rPr>
        <w:t xml:space="preserve">. Meanwhile, it established key </w:t>
      </w:r>
      <w:r w:rsidRPr="004A6C77">
        <w:rPr>
          <w:rFonts w:ascii="Segoe UI" w:eastAsia="Times New Roman" w:hAnsi="Segoe UI" w:cs="Segoe UI"/>
          <w:b/>
          <w:bCs/>
          <w:kern w:val="0"/>
          <w:sz w:val="21"/>
          <w:szCs w:val="21"/>
          <w14:ligatures w14:val="none"/>
        </w:rPr>
        <w:t>tech partnerships</w:t>
      </w:r>
      <w:r w:rsidRPr="004A6C77">
        <w:rPr>
          <w:rFonts w:ascii="Segoe UI" w:eastAsia="Times New Roman" w:hAnsi="Segoe UI" w:cs="Segoe UI"/>
          <w:kern w:val="0"/>
          <w:sz w:val="21"/>
          <w:szCs w:val="21"/>
          <w14:ligatures w14:val="none"/>
        </w:rPr>
        <w:t xml:space="preserve"> – most notably with Microsoft, integrating TR content into Microsoft 365’s AI (Copilot) offering to reach users in their daily workflows. It also launched </w:t>
      </w:r>
      <w:r w:rsidRPr="004A6C77">
        <w:rPr>
          <w:rFonts w:ascii="Segoe UI" w:eastAsia="Times New Roman" w:hAnsi="Segoe UI" w:cs="Segoe UI"/>
          <w:b/>
          <w:bCs/>
          <w:kern w:val="0"/>
          <w:sz w:val="21"/>
          <w:szCs w:val="21"/>
          <w14:ligatures w14:val="none"/>
        </w:rPr>
        <w:t>Thomson Reuters Ventures</w:t>
      </w:r>
      <w:r w:rsidRPr="004A6C77">
        <w:rPr>
          <w:rFonts w:ascii="Segoe UI" w:eastAsia="Times New Roman" w:hAnsi="Segoe UI" w:cs="Segoe UI"/>
          <w:kern w:val="0"/>
          <w:sz w:val="21"/>
          <w:szCs w:val="21"/>
          <w14:ligatures w14:val="none"/>
        </w:rPr>
        <w:t>, a $100M corporate venture fund, investing in 20+ startups (AI, legal tech, tax tech) to stay on the cutting edge and enable future acquisitions. These moves expand TR’s ecosystem beyond what it can build alone, positioning it at the center of a network of complementary solutions and ensuring early access to emerging technologies (e.g. an investment in a contract AI startup that TR later fully acquired to bolster its offerings).</w:t>
      </w:r>
    </w:p>
    <w:p w14:paraId="7868F2E6"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Financial Structure &amp; Investment:</w:t>
      </w:r>
      <w:r w:rsidRPr="004A6C77">
        <w:rPr>
          <w:rFonts w:ascii="Segoe UI" w:eastAsia="Times New Roman" w:hAnsi="Segoe UI" w:cs="Segoe UI"/>
          <w:kern w:val="0"/>
          <w:sz w:val="21"/>
          <w:szCs w:val="21"/>
          <w14:ligatures w14:val="none"/>
        </w:rPr>
        <w:t xml:space="preserve"> TR’s financial architecture provides a strong foundation for transformation. ~80% recurring revenue and high renewal rates yield predictable cash flows (2023 free cash flow was $1.9B), which the company is redirecting into transformation investments – funding tech upgrades, acquisitions, and workforce re-skilling without jeopardizing profitability. The completed Change Program also delivered ~$600M in run-rate cost savings, creating budget headroom for innovation</w:t>
      </w:r>
      <w:hyperlink r:id="rId340" w:history="1">
        <w:r w:rsidRPr="004A6C77">
          <w:rPr>
            <w:rFonts w:ascii="Segoe UI" w:eastAsia="Times New Roman" w:hAnsi="Segoe UI" w:cs="Segoe UI"/>
            <w:color w:val="464FEB"/>
            <w:kern w:val="0"/>
            <w:sz w:val="21"/>
            <w:szCs w:val="21"/>
            <w14:ligatures w14:val="none"/>
          </w:rPr>
          <w:t>[6]</w:t>
        </w:r>
      </w:hyperlink>
      <w:r w:rsidRPr="004A6C77">
        <w:rPr>
          <w:rFonts w:ascii="Segoe UI" w:eastAsia="Times New Roman" w:hAnsi="Segoe UI" w:cs="Segoe UI"/>
          <w:kern w:val="0"/>
          <w:sz w:val="21"/>
          <w:szCs w:val="21"/>
          <w14:ligatures w14:val="none"/>
        </w:rPr>
        <w:t xml:space="preserve">. TR maintains prudent leverage and robust shareholder returns (dividends, buybacks) even as it increases R&amp;D spend, indicating balanced financial management. Going forward, the company is using rigorous ROI discipline for projects (each transformation initiative has defined payback metrics tracked by Finance) and reallocating capital to priority areas (e.g. </w:t>
      </w:r>
      <w:r w:rsidRPr="004A6C77">
        <w:rPr>
          <w:rFonts w:ascii="Segoe UI" w:eastAsia="Times New Roman" w:hAnsi="Segoe UI" w:cs="Segoe UI"/>
          <w:kern w:val="0"/>
          <w:sz w:val="21"/>
          <w:szCs w:val="21"/>
          <w14:ligatures w14:val="none"/>
        </w:rPr>
        <w:lastRenderedPageBreak/>
        <w:t>disproportionately funding AI and cloud programs which promise higher long-term returns). This aligned investment approach means critical transformation initiatives are well-resourced and financially monitored.</w:t>
      </w:r>
    </w:p>
    <w:p w14:paraId="6D3B4EB9"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Performance Management &amp; Metrics:</w:t>
      </w:r>
      <w:r w:rsidRPr="004A6C77">
        <w:rPr>
          <w:rFonts w:ascii="Segoe UI" w:eastAsia="Times New Roman" w:hAnsi="Segoe UI" w:cs="Segoe UI"/>
          <w:kern w:val="0"/>
          <w:sz w:val="21"/>
          <w:szCs w:val="21"/>
          <w14:ligatures w14:val="none"/>
        </w:rPr>
        <w:t xml:space="preserve"> The company has updated its performance measurement framework to support transformation goals. Leadership introduced new </w:t>
      </w:r>
      <w:r w:rsidRPr="004A6C77">
        <w:rPr>
          <w:rFonts w:ascii="Segoe UI" w:eastAsia="Times New Roman" w:hAnsi="Segoe UI" w:cs="Segoe UI"/>
          <w:b/>
          <w:bCs/>
          <w:kern w:val="0"/>
          <w:sz w:val="21"/>
          <w:szCs w:val="21"/>
          <w14:ligatures w14:val="none"/>
        </w:rPr>
        <w:t>KPIs and dashboards</w:t>
      </w:r>
      <w:r w:rsidRPr="004A6C77">
        <w:rPr>
          <w:rFonts w:ascii="Segoe UI" w:eastAsia="Times New Roman" w:hAnsi="Segoe UI" w:cs="Segoe UI"/>
          <w:kern w:val="0"/>
          <w:sz w:val="21"/>
          <w:szCs w:val="21"/>
          <w14:ligatures w14:val="none"/>
        </w:rPr>
        <w:t xml:space="preserve"> that track not just financial outcomes, but also transformation drivers – e.g. percentage of revenue from new products, customer digital adoption rates, process efficiency metrics, and employee learning hours. These are reviewed in quarterly business reviews and tied to executive compensation, ensuring accountability. A balanced scorecard approach has been implemented: for example, management reports now include customer NPS, cloud migration progress, and innovation milestones alongside traditional revenue and EBITDA figures</w:t>
      </w:r>
      <w:hyperlink r:id="rId341" w:history="1">
        <w:r w:rsidRPr="004A6C77">
          <w:rPr>
            <w:rFonts w:ascii="Segoe UI" w:eastAsia="Times New Roman" w:hAnsi="Segoe UI" w:cs="Segoe UI"/>
            <w:color w:val="464FEB"/>
            <w:kern w:val="0"/>
            <w:sz w:val="21"/>
            <w:szCs w:val="21"/>
            <w14:ligatures w14:val="none"/>
          </w:rPr>
          <w:t>[7]</w:t>
        </w:r>
      </w:hyperlink>
      <w:r w:rsidRPr="004A6C77">
        <w:rPr>
          <w:rFonts w:ascii="Segoe UI" w:eastAsia="Times New Roman" w:hAnsi="Segoe UI" w:cs="Segoe UI"/>
          <w:kern w:val="0"/>
          <w:sz w:val="21"/>
          <w:szCs w:val="21"/>
          <w14:ligatures w14:val="none"/>
        </w:rPr>
        <w:t>. Culturally, there’s a shift toward continuous improvement: many teams have internal targets like cycle time reduction or automation rates and celebrate achieving them. The company also improved transparency – an internal “Transformation Dashboard” accessible to employees shows progress on key programs (e.g. % of content migrated to the new platform, number of AI use cases deployed) and fosters a sense of collective achievement. This data-driven governance of the transformation helps detect issues early and keeps the organization focused on outcomes, not just activity.</w:t>
      </w:r>
    </w:p>
    <w:p w14:paraId="17480213"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Business Segments – Legal:</w:t>
      </w:r>
      <w:r w:rsidRPr="004A6C77">
        <w:rPr>
          <w:rFonts w:ascii="Segoe UI" w:eastAsia="Times New Roman" w:hAnsi="Segoe UI" w:cs="Segoe UI"/>
          <w:kern w:val="0"/>
          <w:sz w:val="21"/>
          <w:szCs w:val="21"/>
          <w14:ligatures w14:val="none"/>
        </w:rPr>
        <w:t xml:space="preserve"> The Legal Professionals segment (largest revenue contributor) is well into its transformation. Key offerings like Westlaw have been reimagined (Westlaw Precision launched with AI enhancements) and are driving growth – legal research usage is up and clients report completing tasks faster</w:t>
      </w:r>
      <w:hyperlink r:id="rId342" w:history="1">
        <w:r w:rsidRPr="004A6C77">
          <w:rPr>
            <w:rFonts w:ascii="Segoe UI" w:eastAsia="Times New Roman" w:hAnsi="Segoe UI" w:cs="Segoe UI"/>
            <w:color w:val="464FEB"/>
            <w:kern w:val="0"/>
            <w:sz w:val="21"/>
            <w:szCs w:val="21"/>
            <w14:ligatures w14:val="none"/>
          </w:rPr>
          <w:t>[8]</w:t>
        </w:r>
      </w:hyperlink>
      <w:r w:rsidRPr="004A6C77">
        <w:rPr>
          <w:rFonts w:ascii="Segoe UI" w:eastAsia="Times New Roman" w:hAnsi="Segoe UI" w:cs="Segoe UI"/>
          <w:kern w:val="0"/>
          <w:sz w:val="21"/>
          <w:szCs w:val="21"/>
          <w14:ligatures w14:val="none"/>
        </w:rPr>
        <w:t xml:space="preserve">. TR leveraged its deep legal content and new tech: it introduced </w:t>
      </w:r>
      <w:proofErr w:type="spellStart"/>
      <w:r w:rsidRPr="004A6C77">
        <w:rPr>
          <w:rFonts w:ascii="Segoe UI" w:eastAsia="Times New Roman" w:hAnsi="Segoe UI" w:cs="Segoe UI"/>
          <w:b/>
          <w:bCs/>
          <w:kern w:val="0"/>
          <w:sz w:val="21"/>
          <w:szCs w:val="21"/>
          <w14:ligatures w14:val="none"/>
        </w:rPr>
        <w:t>CoCounsel</w:t>
      </w:r>
      <w:proofErr w:type="spellEnd"/>
      <w:r w:rsidRPr="004A6C77">
        <w:rPr>
          <w:rFonts w:ascii="Segoe UI" w:eastAsia="Times New Roman" w:hAnsi="Segoe UI" w:cs="Segoe UI"/>
          <w:kern w:val="0"/>
          <w:sz w:val="21"/>
          <w:szCs w:val="21"/>
          <w14:ligatures w14:val="none"/>
        </w:rPr>
        <w:t xml:space="preserve"> (generative AI legal assistant) in partnership with an acquired startup, which has been rapidly adopted by major law firms and in-house teams. Legal also integrated workflow tools (HighQ for collaboration, Practical Law know-how) into cohesive solutions, increasing average contract value as customers buy suites rather than point products. This segment produced ~5% organic revenue growth recently, partly from upselling new premium services (like litigation analytics)</w:t>
      </w:r>
      <w:hyperlink r:id="rId343" w:history="1">
        <w:r w:rsidRPr="004A6C77">
          <w:rPr>
            <w:rFonts w:ascii="Segoe UI" w:eastAsia="Times New Roman" w:hAnsi="Segoe UI" w:cs="Segoe UI"/>
            <w:color w:val="464FEB"/>
            <w:kern w:val="0"/>
            <w:sz w:val="21"/>
            <w:szCs w:val="21"/>
            <w14:ligatures w14:val="none"/>
          </w:rPr>
          <w:t>[7]</w:t>
        </w:r>
      </w:hyperlink>
      <w:r w:rsidRPr="004A6C77">
        <w:rPr>
          <w:rFonts w:ascii="Segoe UI" w:eastAsia="Times New Roman" w:hAnsi="Segoe UI" w:cs="Segoe UI"/>
          <w:kern w:val="0"/>
          <w:sz w:val="21"/>
          <w:szCs w:val="21"/>
          <w14:ligatures w14:val="none"/>
        </w:rPr>
        <w:t xml:space="preserve">. The segment’s focus is now on end-to-end lawyer productivity – from research to drafting to matter management – using TR’s content and AI to save </w:t>
      </w:r>
      <w:proofErr w:type="gramStart"/>
      <w:r w:rsidRPr="004A6C77">
        <w:rPr>
          <w:rFonts w:ascii="Segoe UI" w:eastAsia="Times New Roman" w:hAnsi="Segoe UI" w:cs="Segoe UI"/>
          <w:kern w:val="0"/>
          <w:sz w:val="21"/>
          <w:szCs w:val="21"/>
          <w14:ligatures w14:val="none"/>
        </w:rPr>
        <w:t>lawyers</w:t>
      </w:r>
      <w:proofErr w:type="gramEnd"/>
      <w:r w:rsidRPr="004A6C77">
        <w:rPr>
          <w:rFonts w:ascii="Segoe UI" w:eastAsia="Times New Roman" w:hAnsi="Segoe UI" w:cs="Segoe UI"/>
          <w:kern w:val="0"/>
          <w:sz w:val="21"/>
          <w:szCs w:val="21"/>
          <w14:ligatures w14:val="none"/>
        </w:rPr>
        <w:t xml:space="preserve"> time. Competitive position remains strong (TR and LexisNexis roughly split the market), but TR’s investment in precision research and AI has given it a differentiation on quality and efficiency that is being well-received</w:t>
      </w:r>
      <w:hyperlink r:id="rId344" w:history="1">
        <w:r w:rsidRPr="004A6C77">
          <w:rPr>
            <w:rFonts w:ascii="Segoe UI" w:eastAsia="Times New Roman" w:hAnsi="Segoe UI" w:cs="Segoe UI"/>
            <w:color w:val="464FEB"/>
            <w:kern w:val="0"/>
            <w:sz w:val="21"/>
            <w:szCs w:val="21"/>
            <w14:ligatures w14:val="none"/>
          </w:rPr>
          <w:t>[8]</w:t>
        </w:r>
      </w:hyperlink>
      <w:r w:rsidRPr="004A6C77">
        <w:rPr>
          <w:rFonts w:ascii="Segoe UI" w:eastAsia="Times New Roman" w:hAnsi="Segoe UI" w:cs="Segoe UI"/>
          <w:kern w:val="0"/>
          <w:sz w:val="21"/>
          <w:szCs w:val="21"/>
          <w14:ligatures w14:val="none"/>
        </w:rPr>
        <w:t>.</w:t>
      </w:r>
    </w:p>
    <w:p w14:paraId="408457E9"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Business Segments – Tax &amp; Accounting:</w:t>
      </w:r>
      <w:r w:rsidRPr="004A6C77">
        <w:rPr>
          <w:rFonts w:ascii="Segoe UI" w:eastAsia="Times New Roman" w:hAnsi="Segoe UI" w:cs="Segoe UI"/>
          <w:kern w:val="0"/>
          <w:sz w:val="21"/>
          <w:szCs w:val="21"/>
          <w14:ligatures w14:val="none"/>
        </w:rPr>
        <w:t xml:space="preserve"> The Tax &amp; Accounting segment has been undergoing a digital overhaul. TR’s ONESOURCE platform (for corporate tax compliance) and UltraTax/CS suite (for accounting firms) are being unified onto one cloud ecosystem. A major boost came from the acquisition of </w:t>
      </w:r>
      <w:proofErr w:type="spellStart"/>
      <w:r w:rsidRPr="004A6C77">
        <w:rPr>
          <w:rFonts w:ascii="Segoe UI" w:eastAsia="Times New Roman" w:hAnsi="Segoe UI" w:cs="Segoe UI"/>
          <w:b/>
          <w:bCs/>
          <w:kern w:val="0"/>
          <w:sz w:val="21"/>
          <w:szCs w:val="21"/>
          <w14:ligatures w14:val="none"/>
        </w:rPr>
        <w:t>SurePrep</w:t>
      </w:r>
      <w:proofErr w:type="spellEnd"/>
      <w:r w:rsidRPr="004A6C77">
        <w:rPr>
          <w:rFonts w:ascii="Segoe UI" w:eastAsia="Times New Roman" w:hAnsi="Segoe UI" w:cs="Segoe UI"/>
          <w:kern w:val="0"/>
          <w:sz w:val="21"/>
          <w:szCs w:val="21"/>
          <w14:ligatures w14:val="none"/>
        </w:rPr>
        <w:t xml:space="preserve"> (for ~$500M) in 2023, which added AI-based tax document automation – now integrated to automatically populate data into returns, cutting prep times significantly</w:t>
      </w:r>
      <w:hyperlink r:id="rId345" w:history="1">
        <w:r w:rsidRPr="004A6C77">
          <w:rPr>
            <w:rFonts w:ascii="Segoe UI" w:eastAsia="Times New Roman" w:hAnsi="Segoe UI" w:cs="Segoe UI"/>
            <w:color w:val="464FEB"/>
            <w:kern w:val="0"/>
            <w:sz w:val="21"/>
            <w:szCs w:val="21"/>
            <w14:ligatures w14:val="none"/>
          </w:rPr>
          <w:t>[1]</w:t>
        </w:r>
      </w:hyperlink>
      <w:r w:rsidRPr="004A6C77">
        <w:rPr>
          <w:rFonts w:ascii="Segoe UI" w:eastAsia="Times New Roman" w:hAnsi="Segoe UI" w:cs="Segoe UI"/>
          <w:kern w:val="0"/>
          <w:sz w:val="21"/>
          <w:szCs w:val="21"/>
          <w14:ligatures w14:val="none"/>
        </w:rPr>
        <w:t xml:space="preserve">. The segment is shifting smaller customers to the cloud Onvio platform, while enhancing enterprise ONESOURCE with more automation and region-specific modules to keep up with global tax digitization trends. These changes are driving client retention and new sales, particularly as tax departments face increased regulatory complexity (like new OECD rules) and need software support. The segment’s revenue is returning to growth after a period of flatness, thanks to new AI-assisted offerings (e.g. an </w:t>
      </w:r>
      <w:r w:rsidRPr="004A6C77">
        <w:rPr>
          <w:rFonts w:ascii="Segoe UI" w:eastAsia="Times New Roman" w:hAnsi="Segoe UI" w:cs="Segoe UI"/>
          <w:b/>
          <w:bCs/>
          <w:kern w:val="0"/>
          <w:sz w:val="21"/>
          <w:szCs w:val="21"/>
          <w14:ligatures w14:val="none"/>
        </w:rPr>
        <w:t>AI-driven tax provision tool</w:t>
      </w:r>
      <w:r w:rsidRPr="004A6C77">
        <w:rPr>
          <w:rFonts w:ascii="Segoe UI" w:eastAsia="Times New Roman" w:hAnsi="Segoe UI" w:cs="Segoe UI"/>
          <w:kern w:val="0"/>
          <w:sz w:val="21"/>
          <w:szCs w:val="21"/>
          <w14:ligatures w14:val="none"/>
        </w:rPr>
        <w:t xml:space="preserve"> released in beta) and cross-selling to legal clients for overlapping areas (like tax implications of legal transactions). A key goal remains improving the user experience – a unified portal for all tax workflows is in development to replace multiple interfaces. While competition from Wolters Kluwer and others remains, TR’s comprehensive content (Checkpoint research), combined with software and now AI, gives it a robust integrated offering that competitors struggle to match end-to-end.</w:t>
      </w:r>
    </w:p>
    <w:p w14:paraId="302D6AA6"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Business Segments – Corporates (Risk, Legal, Compliance for corporates):</w:t>
      </w:r>
      <w:r w:rsidRPr="004A6C77">
        <w:rPr>
          <w:rFonts w:ascii="Segoe UI" w:eastAsia="Times New Roman" w:hAnsi="Segoe UI" w:cs="Segoe UI"/>
          <w:kern w:val="0"/>
          <w:sz w:val="21"/>
          <w:szCs w:val="21"/>
          <w14:ligatures w14:val="none"/>
        </w:rPr>
        <w:t xml:space="preserve"> The Corporates segment has embraced a more integrated approach to serve General Counsel and compliance officers holistically. Thomson Reuters bundled legal matter management (Legal Tracker), contract analysis (with </w:t>
      </w:r>
      <w:proofErr w:type="spellStart"/>
      <w:r w:rsidRPr="004A6C77">
        <w:rPr>
          <w:rFonts w:ascii="Segoe UI" w:eastAsia="Times New Roman" w:hAnsi="Segoe UI" w:cs="Segoe UI"/>
          <w:kern w:val="0"/>
          <w:sz w:val="21"/>
          <w:szCs w:val="21"/>
          <w14:ligatures w14:val="none"/>
        </w:rPr>
        <w:t>ThoughtTrace</w:t>
      </w:r>
      <w:proofErr w:type="spellEnd"/>
      <w:r w:rsidRPr="004A6C77">
        <w:rPr>
          <w:rFonts w:ascii="Segoe UI" w:eastAsia="Times New Roman" w:hAnsi="Segoe UI" w:cs="Segoe UI"/>
          <w:kern w:val="0"/>
          <w:sz w:val="21"/>
          <w:szCs w:val="21"/>
          <w14:ligatures w14:val="none"/>
        </w:rPr>
        <w:t xml:space="preserve"> AI integration), regulatory intelligence, and compliance training into </w:t>
      </w:r>
      <w:r w:rsidRPr="004A6C77">
        <w:rPr>
          <w:rFonts w:ascii="Segoe UI" w:eastAsia="Times New Roman" w:hAnsi="Segoe UI" w:cs="Segoe UI"/>
          <w:b/>
          <w:bCs/>
          <w:kern w:val="0"/>
          <w:sz w:val="21"/>
          <w:szCs w:val="21"/>
          <w14:ligatures w14:val="none"/>
        </w:rPr>
        <w:t>suite offerings</w:t>
      </w:r>
      <w:r w:rsidRPr="004A6C77">
        <w:rPr>
          <w:rFonts w:ascii="Segoe UI" w:eastAsia="Times New Roman" w:hAnsi="Segoe UI" w:cs="Segoe UI"/>
          <w:kern w:val="0"/>
          <w:sz w:val="21"/>
          <w:szCs w:val="21"/>
          <w14:ligatures w14:val="none"/>
        </w:rPr>
        <w:t xml:space="preserve"> for corporate clients. This one-TR approach has led to larger enterprise deals – corporate customers buying multi-product packages increased from 15% to 25% in two years</w:t>
      </w:r>
      <w:hyperlink r:id="rId346" w:history="1">
        <w:r w:rsidRPr="004A6C77">
          <w:rPr>
            <w:rFonts w:ascii="Segoe UI" w:eastAsia="Times New Roman" w:hAnsi="Segoe UI" w:cs="Segoe UI"/>
            <w:color w:val="464FEB"/>
            <w:kern w:val="0"/>
            <w:sz w:val="21"/>
            <w:szCs w:val="21"/>
            <w14:ligatures w14:val="none"/>
          </w:rPr>
          <w:t>[5]</w:t>
        </w:r>
      </w:hyperlink>
      <w:r w:rsidRPr="004A6C77">
        <w:rPr>
          <w:rFonts w:ascii="Segoe UI" w:eastAsia="Times New Roman" w:hAnsi="Segoe UI" w:cs="Segoe UI"/>
          <w:kern w:val="0"/>
          <w:sz w:val="21"/>
          <w:szCs w:val="21"/>
          <w14:ligatures w14:val="none"/>
        </w:rPr>
        <w:t xml:space="preserve">. The segment also leverages content from across TR: for instance, integrating Reuters News and risk screening data into legal workflows to inform decision-making. A highlight is the partnership with </w:t>
      </w:r>
      <w:r w:rsidRPr="004A6C77">
        <w:rPr>
          <w:rFonts w:ascii="Segoe UI" w:eastAsia="Times New Roman" w:hAnsi="Segoe UI" w:cs="Segoe UI"/>
          <w:kern w:val="0"/>
          <w:sz w:val="21"/>
          <w:szCs w:val="21"/>
          <w14:ligatures w14:val="none"/>
        </w:rPr>
        <w:lastRenderedPageBreak/>
        <w:t xml:space="preserve">Microsoft: TR’s legal and risk content embedded in Microsoft Teams and Office apps for corporate users (e.g. a GC can get legal Q&amp;A in Word via TR’s AI). This segment saw improved customer satisfaction as companies appreciate dealing with one provider for multiple needs instead of fragmenting among point solutions. Going forward, the </w:t>
      </w:r>
      <w:proofErr w:type="gramStart"/>
      <w:r w:rsidRPr="004A6C77">
        <w:rPr>
          <w:rFonts w:ascii="Segoe UI" w:eastAsia="Times New Roman" w:hAnsi="Segoe UI" w:cs="Segoe UI"/>
          <w:kern w:val="0"/>
          <w:sz w:val="21"/>
          <w:szCs w:val="21"/>
          <w14:ligatures w14:val="none"/>
        </w:rPr>
        <w:t>Corporates</w:t>
      </w:r>
      <w:proofErr w:type="gramEnd"/>
      <w:r w:rsidRPr="004A6C77">
        <w:rPr>
          <w:rFonts w:ascii="Segoe UI" w:eastAsia="Times New Roman" w:hAnsi="Segoe UI" w:cs="Segoe UI"/>
          <w:kern w:val="0"/>
          <w:sz w:val="21"/>
          <w:szCs w:val="21"/>
          <w14:ligatures w14:val="none"/>
        </w:rPr>
        <w:t xml:space="preserve"> team is focusing on proactive compliance solutions – using AI to scan a client’s contracts and policies to flag potential risks (in pilot now) – capitalizing on TR’s cross-domain insights. By being an all-in-one partner for legal, tax, and compliance departments, TR’s Corporates segment is carving out a unique value proposition in a market where buyers increasingly consolidate vendors.</w:t>
      </w:r>
    </w:p>
    <w:p w14:paraId="59613673"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Business Segments – Reuters News:</w:t>
      </w:r>
      <w:r w:rsidRPr="004A6C77">
        <w:rPr>
          <w:rFonts w:ascii="Segoe UI" w:eastAsia="Times New Roman" w:hAnsi="Segoe UI" w:cs="Segoe UI"/>
          <w:kern w:val="0"/>
          <w:sz w:val="21"/>
          <w:szCs w:val="21"/>
          <w14:ligatures w14:val="none"/>
        </w:rPr>
        <w:t xml:space="preserve"> Reuters News has navigated industry disruption by diversifying and digitizing. A long-term content deal with Refinitiv/LSE provides a stable revenue base, allowing Reuters to invest in new direct products. It launched a revamped Reuters.com and several niche digital offerings (like Reuters Professional, a subscription service with exclusive analysis) to grow consumer and professional readership. It also expanded Reuters Events (conferences business) and media services (custom fact-checking, graphics), contributing new revenue streams. On operations, Reuters heavily uses automation – for example, an AI system now writes thousands of earnings reports and sports recaps in seconds, freeing journalists for higher-value analysis</w:t>
      </w:r>
      <w:hyperlink r:id="rId347" w:history="1">
        <w:r w:rsidRPr="004A6C77">
          <w:rPr>
            <w:rFonts w:ascii="Segoe UI" w:eastAsia="Times New Roman" w:hAnsi="Segoe UI" w:cs="Segoe UI"/>
            <w:color w:val="464FEB"/>
            <w:kern w:val="0"/>
            <w:sz w:val="21"/>
            <w:szCs w:val="21"/>
            <w14:ligatures w14:val="none"/>
          </w:rPr>
          <w:t>[9]</w:t>
        </w:r>
      </w:hyperlink>
      <w:r w:rsidRPr="004A6C77">
        <w:rPr>
          <w:rFonts w:ascii="Segoe UI" w:eastAsia="Times New Roman" w:hAnsi="Segoe UI" w:cs="Segoe UI"/>
          <w:kern w:val="0"/>
          <w:sz w:val="21"/>
          <w:szCs w:val="21"/>
          <w14:ligatures w14:val="none"/>
        </w:rPr>
        <w:t xml:space="preserve">. It also uses AI for </w:t>
      </w:r>
      <w:r w:rsidRPr="004A6C77">
        <w:rPr>
          <w:rFonts w:ascii="Segoe UI" w:eastAsia="Times New Roman" w:hAnsi="Segoe UI" w:cs="Segoe UI"/>
          <w:b/>
          <w:bCs/>
          <w:kern w:val="0"/>
          <w:sz w:val="21"/>
          <w:szCs w:val="21"/>
          <w14:ligatures w14:val="none"/>
        </w:rPr>
        <w:t>News Tracer</w:t>
      </w:r>
      <w:r w:rsidRPr="004A6C77">
        <w:rPr>
          <w:rFonts w:ascii="Segoe UI" w:eastAsia="Times New Roman" w:hAnsi="Segoe UI" w:cs="Segoe UI"/>
          <w:kern w:val="0"/>
          <w:sz w:val="21"/>
          <w:szCs w:val="21"/>
          <w14:ligatures w14:val="none"/>
        </w:rPr>
        <w:t>, which alerts editors to breaking news on social media, helping Reuters be first and accurate</w:t>
      </w:r>
      <w:hyperlink r:id="rId348" w:history="1">
        <w:r w:rsidRPr="004A6C77">
          <w:rPr>
            <w:rFonts w:ascii="Segoe UI" w:eastAsia="Times New Roman" w:hAnsi="Segoe UI" w:cs="Segoe UI"/>
            <w:color w:val="464FEB"/>
            <w:kern w:val="0"/>
            <w:sz w:val="21"/>
            <w:szCs w:val="21"/>
            <w14:ligatures w14:val="none"/>
          </w:rPr>
          <w:t>[2]</w:t>
        </w:r>
      </w:hyperlink>
      <w:r w:rsidRPr="004A6C77">
        <w:rPr>
          <w:rFonts w:ascii="Segoe UI" w:eastAsia="Times New Roman" w:hAnsi="Segoe UI" w:cs="Segoe UI"/>
          <w:kern w:val="0"/>
          <w:sz w:val="21"/>
          <w:szCs w:val="21"/>
          <w14:ligatures w14:val="none"/>
        </w:rPr>
        <w:t>. Editorially, Reuters maintains its trust principles, which is a differentiator in an era of rampant misinformation; in fact, it’s marketing its fact-checking prowess as a service. The News segment’s transformation challenge is monetization in the digital era – hence focus on events, subscriptions, and licensing its content into AI models (with agreements to ensure compensation when tech firms use Reuters text to train AI). Overall, Reuters News benefits from TR’s tech investments (shared data platforms, AI tools) and in turn provides content that enriches TR’s solutions. It is turning from a traditional newswire into a multi-platform media and data provider that supports and complements the rest of TR’s offerings.</w:t>
      </w:r>
    </w:p>
    <w:p w14:paraId="0172B2F2"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Innovation &amp; R&amp;D:</w:t>
      </w:r>
      <w:r w:rsidRPr="004A6C77">
        <w:rPr>
          <w:rFonts w:ascii="Segoe UI" w:eastAsia="Times New Roman" w:hAnsi="Segoe UI" w:cs="Segoe UI"/>
          <w:kern w:val="0"/>
          <w:sz w:val="21"/>
          <w:szCs w:val="21"/>
          <w14:ligatures w14:val="none"/>
        </w:rPr>
        <w:t xml:space="preserve"> Thomson Reuters has cultivated a strong innovation engine to fuel long-term transformation. </w:t>
      </w:r>
      <w:r w:rsidRPr="004A6C77">
        <w:rPr>
          <w:rFonts w:ascii="Segoe UI" w:eastAsia="Times New Roman" w:hAnsi="Segoe UI" w:cs="Segoe UI"/>
          <w:b/>
          <w:bCs/>
          <w:kern w:val="0"/>
          <w:sz w:val="21"/>
          <w:szCs w:val="21"/>
          <w14:ligatures w14:val="none"/>
        </w:rPr>
        <w:t>Thomson Reuters Labs</w:t>
      </w:r>
      <w:r w:rsidRPr="004A6C77">
        <w:rPr>
          <w:rFonts w:ascii="Segoe UI" w:eastAsia="Times New Roman" w:hAnsi="Segoe UI" w:cs="Segoe UI"/>
          <w:kern w:val="0"/>
          <w:sz w:val="21"/>
          <w:szCs w:val="21"/>
          <w14:ligatures w14:val="none"/>
        </w:rPr>
        <w:t xml:space="preserve">, with hubs globally, has been central – for over 30 years it has pioneered applications of AI, NLP, and data science in TR products. TR doubled down on Labs, integrating it with product teams and tasking it with not just research but rapid prototyping of new features (many AI capabilities in current products originated as Labs experiments). The company’s </w:t>
      </w:r>
      <w:r w:rsidRPr="004A6C77">
        <w:rPr>
          <w:rFonts w:ascii="Segoe UI" w:eastAsia="Times New Roman" w:hAnsi="Segoe UI" w:cs="Segoe UI"/>
          <w:b/>
          <w:bCs/>
          <w:kern w:val="0"/>
          <w:sz w:val="21"/>
          <w:szCs w:val="21"/>
          <w14:ligatures w14:val="none"/>
        </w:rPr>
        <w:t>corporate venture investments</w:t>
      </w:r>
      <w:r w:rsidRPr="004A6C77">
        <w:rPr>
          <w:rFonts w:ascii="Segoe UI" w:eastAsia="Times New Roman" w:hAnsi="Segoe UI" w:cs="Segoe UI"/>
          <w:kern w:val="0"/>
          <w:sz w:val="21"/>
          <w:szCs w:val="21"/>
          <w14:ligatures w14:val="none"/>
        </w:rPr>
        <w:t xml:space="preserve"> (TR Ventures) augment internal R&amp;D by tapping external innovation. This has led to partnerships or acquisitions (e.g. investing in legal AI startup </w:t>
      </w:r>
      <w:proofErr w:type="spellStart"/>
      <w:r w:rsidRPr="004A6C77">
        <w:rPr>
          <w:rFonts w:ascii="Segoe UI" w:eastAsia="Times New Roman" w:hAnsi="Segoe UI" w:cs="Segoe UI"/>
          <w:kern w:val="0"/>
          <w:sz w:val="21"/>
          <w:szCs w:val="21"/>
          <w14:ligatures w14:val="none"/>
        </w:rPr>
        <w:t>Casetext</w:t>
      </w:r>
      <w:proofErr w:type="spellEnd"/>
      <w:r w:rsidRPr="004A6C77">
        <w:rPr>
          <w:rFonts w:ascii="Segoe UI" w:eastAsia="Times New Roman" w:hAnsi="Segoe UI" w:cs="Segoe UI"/>
          <w:kern w:val="0"/>
          <w:sz w:val="21"/>
          <w:szCs w:val="21"/>
          <w14:ligatures w14:val="none"/>
        </w:rPr>
        <w:t xml:space="preserve"> and later buying it) that injected cutting-edge tech and talent. Culturally, TR fosters internal innovation through hackathons and an “Open innovation challenge” where employees pitch transformation ideas; several winning ideas (like an AI tool to automate contract reviews) were funded and implemented. Another strategic move is collaborating with academia and industry groups on AI ethics and legal tech standards, ensuring TR remains at the forefront of shaping its industry’s future and spotting emerging trends early. These efforts have started to pay off visibly: TR has won multiple industry awards for innovation in 2023-2024 and is increasingly seen not just as an established player, but as a forward-thinking innovator – important for attracting talent and market attention. The net result is an R&amp;D function that is both exploring disruptive ideas (e.g. how generative AI can create new services) and directly contributing to near-term product enhancements, tightly aligned with business strategy.</w:t>
      </w:r>
    </w:p>
    <w:p w14:paraId="2847A73C"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Culture &amp; Change Management:</w:t>
      </w:r>
      <w:r w:rsidRPr="004A6C77">
        <w:rPr>
          <w:rFonts w:ascii="Segoe UI" w:eastAsia="Times New Roman" w:hAnsi="Segoe UI" w:cs="Segoe UI"/>
          <w:kern w:val="0"/>
          <w:sz w:val="21"/>
          <w:szCs w:val="21"/>
          <w14:ligatures w14:val="none"/>
        </w:rPr>
        <w:t xml:space="preserve"> Internally, the workforce has embraced the transformation to a remarkable degree. A structured change program focusing on </w:t>
      </w:r>
      <w:r w:rsidRPr="004A6C77">
        <w:rPr>
          <w:rFonts w:ascii="Segoe UI" w:eastAsia="Times New Roman" w:hAnsi="Segoe UI" w:cs="Segoe UI"/>
          <w:b/>
          <w:bCs/>
          <w:kern w:val="0"/>
          <w:sz w:val="21"/>
          <w:szCs w:val="21"/>
          <w14:ligatures w14:val="none"/>
        </w:rPr>
        <w:t>Tone, Training, Tools, and Time</w:t>
      </w:r>
      <w:r w:rsidRPr="004A6C77">
        <w:rPr>
          <w:rFonts w:ascii="Segoe UI" w:eastAsia="Times New Roman" w:hAnsi="Segoe UI" w:cs="Segoe UI"/>
          <w:kern w:val="0"/>
          <w:sz w:val="21"/>
          <w:szCs w:val="21"/>
          <w14:ligatures w14:val="none"/>
        </w:rPr>
        <w:t xml:space="preserve"> (the “Four T’s”) successfully managed the people side of change. Leadership set an example (“tone”) by communicating frequently and authentically about the transformation’s purpose and progress, which built trust. The company massively invested in </w:t>
      </w:r>
      <w:r w:rsidRPr="004A6C77">
        <w:rPr>
          <w:rFonts w:ascii="Segoe UI" w:eastAsia="Times New Roman" w:hAnsi="Segoe UI" w:cs="Segoe UI"/>
          <w:b/>
          <w:bCs/>
          <w:kern w:val="0"/>
          <w:sz w:val="21"/>
          <w:szCs w:val="21"/>
          <w14:ligatures w14:val="none"/>
        </w:rPr>
        <w:t>training</w:t>
      </w:r>
      <w:r w:rsidRPr="004A6C77">
        <w:rPr>
          <w:rFonts w:ascii="Segoe UI" w:eastAsia="Times New Roman" w:hAnsi="Segoe UI" w:cs="Segoe UI"/>
          <w:kern w:val="0"/>
          <w:sz w:val="21"/>
          <w:szCs w:val="21"/>
          <w14:ligatures w14:val="none"/>
        </w:rPr>
        <w:t xml:space="preserve"> – beyond the 11,000+ who took AI training, thousands also took courses in agile methods, cloud skills, and more, signaling that learning is integral to every role. It provided modern </w:t>
      </w:r>
      <w:r w:rsidRPr="004A6C77">
        <w:rPr>
          <w:rFonts w:ascii="Segoe UI" w:eastAsia="Times New Roman" w:hAnsi="Segoe UI" w:cs="Segoe UI"/>
          <w:b/>
          <w:bCs/>
          <w:kern w:val="0"/>
          <w:sz w:val="21"/>
          <w:szCs w:val="21"/>
          <w14:ligatures w14:val="none"/>
        </w:rPr>
        <w:t>tools</w:t>
      </w:r>
      <w:r w:rsidRPr="004A6C77">
        <w:rPr>
          <w:rFonts w:ascii="Segoe UI" w:eastAsia="Times New Roman" w:hAnsi="Segoe UI" w:cs="Segoe UI"/>
          <w:kern w:val="0"/>
          <w:sz w:val="21"/>
          <w:szCs w:val="21"/>
          <w14:ligatures w14:val="none"/>
        </w:rPr>
        <w:t xml:space="preserve"> – from collaborative software to an internal AI sandbox – so employees could </w:t>
      </w:r>
      <w:proofErr w:type="gramStart"/>
      <w:r w:rsidRPr="004A6C77">
        <w:rPr>
          <w:rFonts w:ascii="Segoe UI" w:eastAsia="Times New Roman" w:hAnsi="Segoe UI" w:cs="Segoe UI"/>
          <w:kern w:val="0"/>
          <w:sz w:val="21"/>
          <w:szCs w:val="21"/>
          <w14:ligatures w14:val="none"/>
        </w:rPr>
        <w:t>actually practice</w:t>
      </w:r>
      <w:proofErr w:type="gramEnd"/>
      <w:r w:rsidRPr="004A6C77">
        <w:rPr>
          <w:rFonts w:ascii="Segoe UI" w:eastAsia="Times New Roman" w:hAnsi="Segoe UI" w:cs="Segoe UI"/>
          <w:kern w:val="0"/>
          <w:sz w:val="21"/>
          <w:szCs w:val="21"/>
          <w14:ligatures w14:val="none"/>
        </w:rPr>
        <w:t xml:space="preserve"> new ways of working. Crucially, it gave employees </w:t>
      </w:r>
      <w:r w:rsidRPr="004A6C77">
        <w:rPr>
          <w:rFonts w:ascii="Segoe UI" w:eastAsia="Times New Roman" w:hAnsi="Segoe UI" w:cs="Segoe UI"/>
          <w:b/>
          <w:bCs/>
          <w:kern w:val="0"/>
          <w:sz w:val="21"/>
          <w:szCs w:val="21"/>
          <w14:ligatures w14:val="none"/>
        </w:rPr>
        <w:t>time</w:t>
      </w:r>
      <w:r w:rsidRPr="004A6C77">
        <w:rPr>
          <w:rFonts w:ascii="Segoe UI" w:eastAsia="Times New Roman" w:hAnsi="Segoe UI" w:cs="Segoe UI"/>
          <w:kern w:val="0"/>
          <w:sz w:val="21"/>
          <w:szCs w:val="21"/>
          <w14:ligatures w14:val="none"/>
        </w:rPr>
        <w:t xml:space="preserve"> to adapt (e.g., dedicated innovation days, no-meeting hours for training). As a result, morale and engagement are up: internal surveys show employees feel more empowered and optimistic about the company’s direction (Great Place to Work certifications were achieved in 6 countries in 2023, reflecting </w:t>
      </w:r>
      <w:r w:rsidRPr="004A6C77">
        <w:rPr>
          <w:rFonts w:ascii="Segoe UI" w:eastAsia="Times New Roman" w:hAnsi="Segoe UI" w:cs="Segoe UI"/>
          <w:kern w:val="0"/>
          <w:sz w:val="21"/>
          <w:szCs w:val="21"/>
          <w14:ligatures w14:val="none"/>
        </w:rPr>
        <w:lastRenderedPageBreak/>
        <w:t>high positive sentiment). There is a palpable culture shift toward innovation – nearly half of employees regularly use AI in their jobs now, and success stories of process improvements are celebrated on internal forums. While a minority initially feared job impacts, TR’s transparent communication and commitment to reskilling eased concerns; voluntary attrition of key talent remains low, indicating people want to be part of TR’s journey. The company’s change management maturity is high – it has even codified lessons from this transformation to apply to future ones, embedding continuous improvement into the culture.</w:t>
      </w:r>
    </w:p>
    <w:p w14:paraId="5FE780E9"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Governance &amp; Risk Management:</w:t>
      </w:r>
      <w:r w:rsidRPr="004A6C77">
        <w:rPr>
          <w:rFonts w:ascii="Segoe UI" w:eastAsia="Times New Roman" w:hAnsi="Segoe UI" w:cs="Segoe UI"/>
          <w:kern w:val="0"/>
          <w:sz w:val="21"/>
          <w:szCs w:val="21"/>
          <w14:ligatures w14:val="none"/>
        </w:rPr>
        <w:t xml:space="preserve"> Thomson Reuters established robust governance to steer its transformation and manage risks. A Transformation Office and steering committee (with C-level and business leaders) meet regularly to review program progress, resolve cross-unit issues, and ensure initiatives stay aligned with strategic goals. This tight governance enabled the Change Program to hit its targets on time and budget, and it continues to oversee current initiatives (each major program has an executive sponsor and clear KPIs). On the risk side, TR’s long-standing rigor in compliance and risk management extends to its transformation. Before launching projects, interdisciplinary teams conduct risk assessments – for example, evaluating data privacy or client impact risks of a new AI feature – and devise mitigation plans. The company updated policies (like its Code of Business Conduct) to cover digital ethics and AI use, reinforcing to employees and partners the boundaries of acceptable innovation. Cybersecurity has been a focus during cloud migration; TR improved its security posture (40% reduction in high-severity vulnerabilities post-migration) and has incident response plans specifically for new cloud and AI systems. The Board of Directors is actively engaged, receiving regular transformation updates and specifically overseeing areas like talent (to ensure the workforce can handle change) and technology risk. Thanks to this structured oversight, TR has avoided major pitfalls – e.g., no significant service disruptions during the large-scale system changes, and no ethical breaches with AI implementations, which could have derailed momentum. In sum, strong governance and risk controls have kept the transformation on track and preserved stakeholder trust throughout.</w:t>
      </w:r>
    </w:p>
    <w:p w14:paraId="4F49675D"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Strategic Initiatives &amp; Program Portfolio:</w:t>
      </w:r>
      <w:r w:rsidRPr="004A6C77">
        <w:rPr>
          <w:rFonts w:ascii="Segoe UI" w:eastAsia="Times New Roman" w:hAnsi="Segoe UI" w:cs="Segoe UI"/>
          <w:kern w:val="0"/>
          <w:sz w:val="21"/>
          <w:szCs w:val="21"/>
          <w14:ligatures w14:val="none"/>
        </w:rPr>
        <w:t xml:space="preserve"> TR manages a balanced portfolio of transformation initiatives spanning process, technology, customer, and talent domains. Following the Change Program, it identified follow-on strategic programs – cloud modernization (completed in 2023), data platform build-out (ongoing), AI integration (accelerated in 2024), customer experience overhaul, and back-office simplification – each with 1–</w:t>
      </w:r>
      <w:proofErr w:type="gramStart"/>
      <w:r w:rsidRPr="004A6C77">
        <w:rPr>
          <w:rFonts w:ascii="Segoe UI" w:eastAsia="Times New Roman" w:hAnsi="Segoe UI" w:cs="Segoe UI"/>
          <w:kern w:val="0"/>
          <w:sz w:val="21"/>
          <w:szCs w:val="21"/>
          <w14:ligatures w14:val="none"/>
        </w:rPr>
        <w:t>3 year</w:t>
      </w:r>
      <w:proofErr w:type="gramEnd"/>
      <w:r w:rsidRPr="004A6C77">
        <w:rPr>
          <w:rFonts w:ascii="Segoe UI" w:eastAsia="Times New Roman" w:hAnsi="Segoe UI" w:cs="Segoe UI"/>
          <w:kern w:val="0"/>
          <w:sz w:val="21"/>
          <w:szCs w:val="21"/>
          <w14:ligatures w14:val="none"/>
        </w:rPr>
        <w:t xml:space="preserve"> roadmaps. These programs are well-coordinated: interdependencies are mapped (e.g. data platform completion feeds AI capabilities; process optimizations rely on new systems going live). The company has shown agility in this portfolio management; for instance, when early wins in digital sales became evident, it increased investment in e-commerce improvements, pulling resources from a lower-impact area – continuously aligning resource allocation with observed ROI. Already, benefits from the portfolio are showing: the Big 3 segments combined saw an uptick in organic growth (from ~4% to 7%) attributed partly to new products and improved cross-sell resulting from these strategic programs</w:t>
      </w:r>
      <w:hyperlink r:id="rId349" w:history="1">
        <w:r w:rsidRPr="004A6C77">
          <w:rPr>
            <w:rFonts w:ascii="Segoe UI" w:eastAsia="Times New Roman" w:hAnsi="Segoe UI" w:cs="Segoe UI"/>
            <w:color w:val="464FEB"/>
            <w:kern w:val="0"/>
            <w:sz w:val="21"/>
            <w:szCs w:val="21"/>
            <w14:ligatures w14:val="none"/>
          </w:rPr>
          <w:t>[7]</w:t>
        </w:r>
      </w:hyperlink>
      <w:r w:rsidRPr="004A6C77">
        <w:rPr>
          <w:rFonts w:ascii="Segoe UI" w:eastAsia="Times New Roman" w:hAnsi="Segoe UI" w:cs="Segoe UI"/>
          <w:kern w:val="0"/>
          <w:sz w:val="21"/>
          <w:szCs w:val="21"/>
          <w14:ligatures w14:val="none"/>
        </w:rPr>
        <w:t>. TR also ensures quick wins within longer programs to maintain momentum – e.g., within a multi-year finance transformation, it delivered an automated reporting tool in 6 months that saved $2M, freeing budget for the next phase. The disciplined tracking (each program reports quarterly metrics) and the culture of celebrating milestone achievements (shared in internal newsletters) keep the many moving parts of the transformation portfolio on course. Overall, TR’s readiness here is strong: it treats transformation as a multi-front initiative requiring investment in technology, people, and processes in parallel, and it has the governance to execute that complexity.</w:t>
      </w:r>
    </w:p>
    <w:p w14:paraId="4E0F2E8E"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Cross-Functional Synergies:</w:t>
      </w:r>
      <w:r w:rsidRPr="004A6C77">
        <w:rPr>
          <w:rFonts w:ascii="Segoe UI" w:eastAsia="Times New Roman" w:hAnsi="Segoe UI" w:cs="Segoe UI"/>
          <w:kern w:val="0"/>
          <w:sz w:val="21"/>
          <w:szCs w:val="21"/>
          <w14:ligatures w14:val="none"/>
        </w:rPr>
        <w:t xml:space="preserve"> Breaking down former silos has unlocked significant synergies across Thomson Reuters. Collaboration between segments and departments is at an all-time high, yielding new revenue and efficiency. A clear sign is the </w:t>
      </w:r>
      <w:r w:rsidRPr="004A6C77">
        <w:rPr>
          <w:rFonts w:ascii="Segoe UI" w:eastAsia="Times New Roman" w:hAnsi="Segoe UI" w:cs="Segoe UI"/>
          <w:b/>
          <w:bCs/>
          <w:kern w:val="0"/>
          <w:sz w:val="21"/>
          <w:szCs w:val="21"/>
          <w14:ligatures w14:val="none"/>
        </w:rPr>
        <w:t>increase in multi-product sales</w:t>
      </w:r>
      <w:r w:rsidRPr="004A6C77">
        <w:rPr>
          <w:rFonts w:ascii="Segoe UI" w:eastAsia="Times New Roman" w:hAnsi="Segoe UI" w:cs="Segoe UI"/>
          <w:kern w:val="0"/>
          <w:sz w:val="21"/>
          <w:szCs w:val="21"/>
          <w14:ligatures w14:val="none"/>
        </w:rPr>
        <w:t xml:space="preserve"> – joint account planning and bundled offerings have driven a ~10 percentage point rise in customers using solutions from multiple TR segments</w:t>
      </w:r>
      <w:hyperlink r:id="rId350" w:history="1">
        <w:r w:rsidRPr="004A6C77">
          <w:rPr>
            <w:rFonts w:ascii="Segoe UI" w:eastAsia="Times New Roman" w:hAnsi="Segoe UI" w:cs="Segoe UI"/>
            <w:color w:val="464FEB"/>
            <w:kern w:val="0"/>
            <w:sz w:val="21"/>
            <w:szCs w:val="21"/>
            <w14:ligatures w14:val="none"/>
          </w:rPr>
          <w:t>[5]</w:t>
        </w:r>
      </w:hyperlink>
      <w:r w:rsidRPr="004A6C77">
        <w:rPr>
          <w:rFonts w:ascii="Segoe UI" w:eastAsia="Times New Roman" w:hAnsi="Segoe UI" w:cs="Segoe UI"/>
          <w:kern w:val="0"/>
          <w:sz w:val="21"/>
          <w:szCs w:val="21"/>
          <w14:ligatures w14:val="none"/>
        </w:rPr>
        <w:t xml:space="preserve">. Internally, shared platforms (like the customer data lake and unified CRM) mean different teams now draw from the same information, reducing duplicate outreach and enabling coordinated actions (sales, support, product development all aligning on client needs). Cross-functional innovation is also </w:t>
      </w:r>
      <w:proofErr w:type="gramStart"/>
      <w:r w:rsidRPr="004A6C77">
        <w:rPr>
          <w:rFonts w:ascii="Segoe UI" w:eastAsia="Times New Roman" w:hAnsi="Segoe UI" w:cs="Segoe UI"/>
          <w:kern w:val="0"/>
          <w:sz w:val="21"/>
          <w:szCs w:val="21"/>
          <w14:ligatures w14:val="none"/>
        </w:rPr>
        <w:t>flourishing:</w:t>
      </w:r>
      <w:proofErr w:type="gramEnd"/>
      <w:r w:rsidRPr="004A6C77">
        <w:rPr>
          <w:rFonts w:ascii="Segoe UI" w:eastAsia="Times New Roman" w:hAnsi="Segoe UI" w:cs="Segoe UI"/>
          <w:kern w:val="0"/>
          <w:sz w:val="21"/>
          <w:szCs w:val="21"/>
          <w14:ligatures w14:val="none"/>
        </w:rPr>
        <w:t xml:space="preserve"> for example, Legal and Tax experts co-developed a combined product for tax implications of legal contracts, something that wouldn’t happen </w:t>
      </w:r>
      <w:r w:rsidRPr="004A6C77">
        <w:rPr>
          <w:rFonts w:ascii="Segoe UI" w:eastAsia="Times New Roman" w:hAnsi="Segoe UI" w:cs="Segoe UI"/>
          <w:kern w:val="0"/>
          <w:sz w:val="21"/>
          <w:szCs w:val="21"/>
          <w14:ligatures w14:val="none"/>
        </w:rPr>
        <w:lastRenderedPageBreak/>
        <w:t>without the new integrated structure. Efficiency gains from cross-functional efforts are notable – integrated procurement and IT have cut vendor overlap, saving millions</w:t>
      </w:r>
      <w:hyperlink r:id="rId351" w:history="1">
        <w:r w:rsidRPr="004A6C77">
          <w:rPr>
            <w:rFonts w:ascii="Segoe UI" w:eastAsia="Times New Roman" w:hAnsi="Segoe UI" w:cs="Segoe UI"/>
            <w:color w:val="464FEB"/>
            <w:kern w:val="0"/>
            <w:sz w:val="21"/>
            <w:szCs w:val="21"/>
            <w14:ligatures w14:val="none"/>
          </w:rPr>
          <w:t>[6]</w:t>
        </w:r>
      </w:hyperlink>
      <w:r w:rsidRPr="004A6C77">
        <w:rPr>
          <w:rFonts w:ascii="Segoe UI" w:eastAsia="Times New Roman" w:hAnsi="Segoe UI" w:cs="Segoe UI"/>
          <w:kern w:val="0"/>
          <w:sz w:val="21"/>
          <w:szCs w:val="21"/>
          <w14:ligatures w14:val="none"/>
        </w:rPr>
        <w:t>, and central support centers serve clients more effectively than region-specific teams did (important issues are resolved faster because the support team can tap experts in any segment as needed). Employees increasingly operate with an “enterprise mindset,” supported by incentives (sales reps now paid for referring opportunities to other segments, not just their own) and by communication (internal case studies highlight one-TR collaboration wins). While some coordination friction naturally remains in a large enterprise, the company’s deliberate efforts (e.g., cross-unit workshops, rotating staff through different departments for exposure) are continually smoothing it out. This synergy readiness – the ability for TR’s various parts to work together as a cohesive whole – multiplies the impact of all other transformation aspects, from accelerating product launches to providing a seamless customer experience.</w:t>
      </w:r>
    </w:p>
    <w:p w14:paraId="3779DA46"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Competitive Positioning &amp; Market Drivers:</w:t>
      </w:r>
      <w:r w:rsidRPr="004A6C77">
        <w:rPr>
          <w:rFonts w:ascii="Segoe UI" w:eastAsia="Times New Roman" w:hAnsi="Segoe UI" w:cs="Segoe UI"/>
          <w:kern w:val="0"/>
          <w:sz w:val="21"/>
          <w:szCs w:val="21"/>
          <w14:ligatures w14:val="none"/>
        </w:rPr>
        <w:t xml:space="preserve"> Thomson Reuters faces a rapidly evolving competitive landscape and is leveraging its transformation to stay ahead. The </w:t>
      </w:r>
      <w:r w:rsidRPr="004A6C77">
        <w:rPr>
          <w:rFonts w:ascii="Segoe UI" w:eastAsia="Times New Roman" w:hAnsi="Segoe UI" w:cs="Segoe UI"/>
          <w:b/>
          <w:bCs/>
          <w:kern w:val="0"/>
          <w:sz w:val="21"/>
          <w:szCs w:val="21"/>
          <w14:ligatures w14:val="none"/>
        </w:rPr>
        <w:t>information services market (~$34B legal &amp; regulatory info globally) is growing ~9% CAGR</w:t>
      </w:r>
      <w:r w:rsidRPr="004A6C77">
        <w:rPr>
          <w:rFonts w:ascii="Segoe UI" w:eastAsia="Times New Roman" w:hAnsi="Segoe UI" w:cs="Segoe UI"/>
          <w:kern w:val="0"/>
          <w:sz w:val="21"/>
          <w:szCs w:val="21"/>
          <w14:ligatures w14:val="none"/>
        </w:rPr>
        <w:t>, fueled by demand for digital solutions and AI-powered tools</w:t>
      </w:r>
      <w:hyperlink r:id="rId352" w:history="1">
        <w:r w:rsidRPr="004A6C77">
          <w:rPr>
            <w:rFonts w:ascii="Segoe UI" w:eastAsia="Times New Roman" w:hAnsi="Segoe UI" w:cs="Segoe UI"/>
            <w:color w:val="464FEB"/>
            <w:kern w:val="0"/>
            <w:sz w:val="21"/>
            <w:szCs w:val="21"/>
            <w14:ligatures w14:val="none"/>
          </w:rPr>
          <w:t>[10]</w:t>
        </w:r>
      </w:hyperlink>
      <w:r w:rsidRPr="004A6C77">
        <w:rPr>
          <w:rFonts w:ascii="Segoe UI" w:eastAsia="Times New Roman" w:hAnsi="Segoe UI" w:cs="Segoe UI"/>
          <w:kern w:val="0"/>
          <w:sz w:val="21"/>
          <w:szCs w:val="21"/>
          <w14:ligatures w14:val="none"/>
        </w:rPr>
        <w:t xml:space="preserve">. Key competitors like LexisNexis (RELX) and Wolters Kluwer are also transforming – Lexis has introduced its own generative AI (Lexis+ AI) and aggressively courting small firms, while new entrants (startups like </w:t>
      </w:r>
      <w:proofErr w:type="spellStart"/>
      <w:r w:rsidRPr="004A6C77">
        <w:rPr>
          <w:rFonts w:ascii="Segoe UI" w:eastAsia="Times New Roman" w:hAnsi="Segoe UI" w:cs="Segoe UI"/>
          <w:kern w:val="0"/>
          <w:sz w:val="21"/>
          <w:szCs w:val="21"/>
          <w14:ligatures w14:val="none"/>
        </w:rPr>
        <w:t>Casetext</w:t>
      </w:r>
      <w:proofErr w:type="spellEnd"/>
      <w:r w:rsidRPr="004A6C77">
        <w:rPr>
          <w:rFonts w:ascii="Segoe UI" w:eastAsia="Times New Roman" w:hAnsi="Segoe UI" w:cs="Segoe UI"/>
          <w:kern w:val="0"/>
          <w:sz w:val="21"/>
          <w:szCs w:val="21"/>
          <w14:ligatures w14:val="none"/>
        </w:rPr>
        <w:t xml:space="preserve">, Ironclad) have been pushing niche AI products. TR’s response has been swift: through acquisitions (e.g. </w:t>
      </w:r>
      <w:proofErr w:type="spellStart"/>
      <w:r w:rsidRPr="004A6C77">
        <w:rPr>
          <w:rFonts w:ascii="Segoe UI" w:eastAsia="Times New Roman" w:hAnsi="Segoe UI" w:cs="Segoe UI"/>
          <w:kern w:val="0"/>
          <w:sz w:val="21"/>
          <w:szCs w:val="21"/>
          <w14:ligatures w14:val="none"/>
        </w:rPr>
        <w:t>Casetext</w:t>
      </w:r>
      <w:proofErr w:type="spellEnd"/>
      <w:r w:rsidRPr="004A6C77">
        <w:rPr>
          <w:rFonts w:ascii="Segoe UI" w:eastAsia="Times New Roman" w:hAnsi="Segoe UI" w:cs="Segoe UI"/>
          <w:kern w:val="0"/>
          <w:sz w:val="21"/>
          <w:szCs w:val="21"/>
          <w14:ligatures w14:val="none"/>
        </w:rPr>
        <w:t xml:space="preserve">) and in-house innovation, it matched or surpassed competitors in AI offerings, launching products around the same time or earlier, and differentiating on quality (e.g. TR’s AI outputs always cite sources, appealing to professionals). Market research shows clients prioritize trust and accuracy in AI – an advantage for TR given its pedigree content and ethical stance. Meanwhile, </w:t>
      </w:r>
      <w:r w:rsidRPr="004A6C77">
        <w:rPr>
          <w:rFonts w:ascii="Segoe UI" w:eastAsia="Times New Roman" w:hAnsi="Segoe UI" w:cs="Segoe UI"/>
          <w:b/>
          <w:bCs/>
          <w:kern w:val="0"/>
          <w:sz w:val="21"/>
          <w:szCs w:val="21"/>
          <w14:ligatures w14:val="none"/>
        </w:rPr>
        <w:t>Big Tech platforms</w:t>
      </w:r>
      <w:r w:rsidRPr="004A6C77">
        <w:rPr>
          <w:rFonts w:ascii="Segoe UI" w:eastAsia="Times New Roman" w:hAnsi="Segoe UI" w:cs="Segoe UI"/>
          <w:kern w:val="0"/>
          <w:sz w:val="21"/>
          <w:szCs w:val="21"/>
          <w14:ligatures w14:val="none"/>
        </w:rPr>
        <w:t xml:space="preserve"> like Microsoft are entering the professional space (via partnerships for AI), and TR’s alliance with Microsoft effectively turns a potential threat into a channel, embedding TR’s content in mainstream office software. Other market drivers include clients’ pressure to do more with less (hence appetite for integrated solutions over multiple vendors) and rising regulatory complexity (driving need for up-to-date information and automation) – both trends play to TR’s strengths of breadth and expertise, which its transformation is enhancing (e.g. one-stop-shop solutions, continuous compliance updates via AI). The company’s competitive position is strong: it holds #1 or #2 share in its core verticals (e.g. roughly half the global legal research market alongside Lexis</w:t>
      </w:r>
      <w:hyperlink r:id="rId353" w:history="1">
        <w:r w:rsidRPr="004A6C77">
          <w:rPr>
            <w:rFonts w:ascii="Segoe UI" w:eastAsia="Times New Roman" w:hAnsi="Segoe UI" w:cs="Segoe UI"/>
            <w:color w:val="464FEB"/>
            <w:kern w:val="0"/>
            <w:sz w:val="21"/>
            <w:szCs w:val="21"/>
            <w14:ligatures w14:val="none"/>
          </w:rPr>
          <w:t>[10]</w:t>
        </w:r>
      </w:hyperlink>
      <w:r w:rsidRPr="004A6C77">
        <w:rPr>
          <w:rFonts w:ascii="Segoe UI" w:eastAsia="Times New Roman" w:hAnsi="Segoe UI" w:cs="Segoe UI"/>
          <w:kern w:val="0"/>
          <w:sz w:val="21"/>
          <w:szCs w:val="21"/>
          <w14:ligatures w14:val="none"/>
        </w:rPr>
        <w:t xml:space="preserve">) and its renewal rates are high. But competition is intense and evolving; TR’s transformation (cloud, AI, culture) is essentially about </w:t>
      </w:r>
      <w:r w:rsidRPr="004A6C77">
        <w:rPr>
          <w:rFonts w:ascii="Segoe UI" w:eastAsia="Times New Roman" w:hAnsi="Segoe UI" w:cs="Segoe UI"/>
          <w:b/>
          <w:bCs/>
          <w:kern w:val="0"/>
          <w:sz w:val="21"/>
          <w:szCs w:val="21"/>
          <w14:ligatures w14:val="none"/>
        </w:rPr>
        <w:t>staying ahead of these market changes</w:t>
      </w:r>
      <w:r w:rsidRPr="004A6C77">
        <w:rPr>
          <w:rFonts w:ascii="Segoe UI" w:eastAsia="Times New Roman" w:hAnsi="Segoe UI" w:cs="Segoe UI"/>
          <w:kern w:val="0"/>
          <w:sz w:val="21"/>
          <w:szCs w:val="21"/>
          <w14:ligatures w14:val="none"/>
        </w:rPr>
        <w:t>. Early indicators are positive – e.g., nearly all AmLaw 100 law firms that adopted generative AI chose a solution involving TR’s content or tools, not a competitor’s, showing TR’s brand and tech are resonating</w:t>
      </w:r>
      <w:hyperlink r:id="rId354" w:history="1">
        <w:r w:rsidRPr="004A6C77">
          <w:rPr>
            <w:rFonts w:ascii="Segoe UI" w:eastAsia="Times New Roman" w:hAnsi="Segoe UI" w:cs="Segoe UI"/>
            <w:color w:val="464FEB"/>
            <w:kern w:val="0"/>
            <w:sz w:val="21"/>
            <w:szCs w:val="21"/>
            <w14:ligatures w14:val="none"/>
          </w:rPr>
          <w:t>[10]</w:t>
        </w:r>
      </w:hyperlink>
      <w:r w:rsidRPr="004A6C77">
        <w:rPr>
          <w:rFonts w:ascii="Segoe UI" w:eastAsia="Times New Roman" w:hAnsi="Segoe UI" w:cs="Segoe UI"/>
          <w:kern w:val="0"/>
          <w:sz w:val="21"/>
          <w:szCs w:val="21"/>
          <w14:ligatures w14:val="none"/>
        </w:rPr>
        <w:t>. To maintain momentum, the company will continue investing in differentiated data, AI innovation, and partnerships, as well as flexible business models, aiming to set industry standards (especially around AI ethics and data usage) that favor its approach. In summary, TR is leveraging its transformation to reinforce a competitive moat (trusted content + advanced tech + integrated workflow) in a market that is being reshaped by AI and digital expectations.</w:t>
      </w:r>
    </w:p>
    <w:p w14:paraId="58B77D5B" w14:textId="77777777" w:rsidR="004A6C77" w:rsidRPr="004A6C77" w:rsidRDefault="004A6C77" w:rsidP="004A6C77">
      <w:pPr>
        <w:spacing w:before="100" w:beforeAutospacing="1" w:after="100" w:afterAutospacing="1" w:line="300" w:lineRule="atLeast"/>
        <w:rPr>
          <w:rFonts w:ascii="Segoe UI" w:eastAsia="Times New Roman" w:hAnsi="Segoe UI" w:cs="Segoe UI"/>
          <w:kern w:val="0"/>
          <w:sz w:val="21"/>
          <w:szCs w:val="21"/>
          <w14:ligatures w14:val="none"/>
        </w:rPr>
      </w:pPr>
      <w:r w:rsidRPr="004A6C77">
        <w:rPr>
          <w:rFonts w:ascii="Segoe UI" w:eastAsia="Times New Roman" w:hAnsi="Segoe UI" w:cs="Segoe UI"/>
          <w:b/>
          <w:bCs/>
          <w:kern w:val="0"/>
          <w:sz w:val="21"/>
          <w:szCs w:val="21"/>
          <w14:ligatures w14:val="none"/>
        </w:rPr>
        <w:t>Internal Stakeholder Sentiment &amp; Readiness:</w:t>
      </w:r>
      <w:r w:rsidRPr="004A6C77">
        <w:rPr>
          <w:rFonts w:ascii="Segoe UI" w:eastAsia="Times New Roman" w:hAnsi="Segoe UI" w:cs="Segoe UI"/>
          <w:kern w:val="0"/>
          <w:sz w:val="21"/>
          <w:szCs w:val="21"/>
          <w14:ligatures w14:val="none"/>
        </w:rPr>
        <w:t xml:space="preserve"> The internal support for Thomson Reuters’ transformation is a major strength. Employees, management, and even the board are highly engaged in the change, creating a culture of enthusiasm rather than resistance. Over the transformation period, employee engagement scores rose significantly – a vast majority now agree that leadership has a clear vision and that they feel empowered to contribute to change. More than 95% of staff surveyed say they believe AI and process improvements can simplify their work</w:t>
      </w:r>
      <w:hyperlink r:id="rId355" w:history="1">
        <w:r w:rsidRPr="004A6C77">
          <w:rPr>
            <w:rFonts w:ascii="Segoe UI" w:eastAsia="Times New Roman" w:hAnsi="Segoe UI" w:cs="Segoe UI"/>
            <w:color w:val="464FEB"/>
            <w:kern w:val="0"/>
            <w:sz w:val="21"/>
            <w:szCs w:val="21"/>
            <w14:ligatures w14:val="none"/>
          </w:rPr>
          <w:t>[10]</w:t>
        </w:r>
      </w:hyperlink>
      <w:r w:rsidRPr="004A6C77">
        <w:rPr>
          <w:rFonts w:ascii="Segoe UI" w:eastAsia="Times New Roman" w:hAnsi="Segoe UI" w:cs="Segoe UI"/>
          <w:kern w:val="0"/>
          <w:sz w:val="21"/>
          <w:szCs w:val="21"/>
          <w14:ligatures w14:val="none"/>
        </w:rPr>
        <w:t xml:space="preserve">, a stark contrast to initial anxieties. The workforce has actively participated in transformation programs: adoption of new tools is widespread (e.g. ~48% of employees were using generative AI tools at work by mid-2024), and thousands of bottom-up ideas for improvements have been submitted, reflecting a sense of ownership. Management has been transparent about challenges and quick to address concerns (for example, when some teams reported overload from simultaneous initiatives, management staggered </w:t>
      </w:r>
      <w:proofErr w:type="gramStart"/>
      <w:r w:rsidRPr="004A6C77">
        <w:rPr>
          <w:rFonts w:ascii="Segoe UI" w:eastAsia="Times New Roman" w:hAnsi="Segoe UI" w:cs="Segoe UI"/>
          <w:kern w:val="0"/>
          <w:sz w:val="21"/>
          <w:szCs w:val="21"/>
          <w14:ligatures w14:val="none"/>
        </w:rPr>
        <w:t>roll-outs</w:t>
      </w:r>
      <w:proofErr w:type="gramEnd"/>
      <w:r w:rsidRPr="004A6C77">
        <w:rPr>
          <w:rFonts w:ascii="Segoe UI" w:eastAsia="Times New Roman" w:hAnsi="Segoe UI" w:cs="Segoe UI"/>
          <w:kern w:val="0"/>
          <w:sz w:val="21"/>
          <w:szCs w:val="21"/>
          <w14:ligatures w14:val="none"/>
        </w:rPr>
        <w:t xml:space="preserve"> and provided extra support). The board is kept informed on people metrics (like training hours, attrition, sentiment) and has championed investments in culture – visibly supporting initiatives like Global Learning Day and publicly recognizing teams that exemplify cross-company collaboration. 2023 saw Thomson Reuters win multiple employer-of-choice awards (Great Place to Work in several locales, LinkedIn Top Companies </w:t>
      </w:r>
      <w:r w:rsidRPr="004A6C77">
        <w:rPr>
          <w:rFonts w:ascii="Segoe UI" w:eastAsia="Times New Roman" w:hAnsi="Segoe UI" w:cs="Segoe UI"/>
          <w:kern w:val="0"/>
          <w:sz w:val="21"/>
          <w:szCs w:val="21"/>
          <w14:ligatures w14:val="none"/>
        </w:rPr>
        <w:lastRenderedPageBreak/>
        <w:t>list, etc.), indicating external validation of its positive internal environment. In practical terms, this stakeholder buy-in means transformation moves faster and with higher quality – employees are not passively complying but actively problem-solving. It also bodes well for sustaining the transformation: the organization has developed a change muscle, so to speak, that will be valuable for continuous evolution beyond the official program timeline. In conclusion, internal stakeholders are not only ready for change – they are driving it. The strong alignment of people with the transformation objectives significantly reduces execution risk and increases the likelihood that changes will be lasting.</w:t>
      </w:r>
    </w:p>
    <w:p w14:paraId="1250E24E" w14:textId="77777777" w:rsidR="004A6C77" w:rsidRPr="004A6C77" w:rsidRDefault="004A6C77" w:rsidP="004A6C77">
      <w:pPr>
        <w:spacing w:after="0" w:line="300" w:lineRule="atLeast"/>
        <w:rPr>
          <w:rFonts w:ascii="Segoe UI Semibold" w:eastAsia="Times New Roman" w:hAnsi="Segoe UI Semibold" w:cs="Segoe UI Semibold"/>
          <w:b/>
          <w:bCs/>
          <w:kern w:val="0"/>
          <w:sz w:val="18"/>
          <w:szCs w:val="18"/>
          <w14:ligatures w14:val="none"/>
        </w:rPr>
      </w:pPr>
      <w:r w:rsidRPr="004A6C77">
        <w:rPr>
          <w:rFonts w:ascii="Segoe UI Semibold" w:eastAsia="Times New Roman" w:hAnsi="Segoe UI Semibold" w:cs="Segoe UI Semibold"/>
          <w:b/>
          <w:bCs/>
          <w:kern w:val="0"/>
          <w:sz w:val="18"/>
          <w:szCs w:val="18"/>
          <w14:ligatures w14:val="none"/>
        </w:rPr>
        <w:br/>
        <w:t>References</w:t>
      </w:r>
    </w:p>
    <w:p w14:paraId="4406806F"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[1] </w:t>
      </w:r>
      <w:hyperlink r:id="rId356" w:history="1">
        <w:r w:rsidRPr="004A6C77">
          <w:rPr>
            <w:rFonts w:ascii="Segoe UI" w:eastAsia="Times New Roman" w:hAnsi="Segoe UI" w:cs="Segoe UI"/>
            <w:color w:val="464FEB"/>
            <w:kern w:val="0"/>
            <w:sz w:val="21"/>
            <w:szCs w:val="21"/>
            <w14:ligatures w14:val="none"/>
          </w:rPr>
          <w:t>Thomson Reuters unveils generative AI strategy designed to transform ...</w:t>
        </w:r>
      </w:hyperlink>
    </w:p>
    <w:p w14:paraId="487A01B5"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[2] </w:t>
      </w:r>
      <w:hyperlink r:id="rId357" w:history="1">
        <w:r w:rsidRPr="004A6C77">
          <w:rPr>
            <w:rFonts w:ascii="Segoe UI" w:eastAsia="Times New Roman" w:hAnsi="Segoe UI" w:cs="Segoe UI"/>
            <w:color w:val="464FEB"/>
            <w:kern w:val="0"/>
            <w:sz w:val="21"/>
            <w:szCs w:val="21"/>
            <w14:ligatures w14:val="none"/>
          </w:rPr>
          <w:t>Q2 2023 Content Ops Townhall June 6, 2023</w:t>
        </w:r>
      </w:hyperlink>
    </w:p>
    <w:p w14:paraId="0BA05F5D"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[3] </w:t>
      </w:r>
      <w:hyperlink r:id="rId358" w:history="1">
        <w:proofErr w:type="spellStart"/>
        <w:r w:rsidRPr="004A6C77">
          <w:rPr>
            <w:rFonts w:ascii="Segoe UI" w:eastAsia="Times New Roman" w:hAnsi="Segoe UI" w:cs="Segoe UI"/>
            <w:color w:val="464FEB"/>
            <w:kern w:val="0"/>
            <w:sz w:val="21"/>
            <w:szCs w:val="21"/>
            <w14:ligatures w14:val="none"/>
          </w:rPr>
          <w:t>thomson</w:t>
        </w:r>
        <w:proofErr w:type="spellEnd"/>
        <w:r w:rsidRPr="004A6C77">
          <w:rPr>
            <w:rFonts w:ascii="Segoe UI" w:eastAsia="Times New Roman" w:hAnsi="Segoe UI" w:cs="Segoe UI"/>
            <w:color w:val="464FEB"/>
            <w:kern w:val="0"/>
            <w:sz w:val="21"/>
            <w:szCs w:val="21"/>
            <w14:ligatures w14:val="none"/>
          </w:rPr>
          <w:t>-</w:t>
        </w:r>
        <w:proofErr w:type="spellStart"/>
        <w:r w:rsidRPr="004A6C77">
          <w:rPr>
            <w:rFonts w:ascii="Segoe UI" w:eastAsia="Times New Roman" w:hAnsi="Segoe UI" w:cs="Segoe UI"/>
            <w:color w:val="464FEB"/>
            <w:kern w:val="0"/>
            <w:sz w:val="21"/>
            <w:szCs w:val="21"/>
            <w14:ligatures w14:val="none"/>
          </w:rPr>
          <w:t>reuters</w:t>
        </w:r>
        <w:proofErr w:type="spellEnd"/>
        <w:r w:rsidRPr="004A6C77">
          <w:rPr>
            <w:rFonts w:ascii="Segoe UI" w:eastAsia="Times New Roman" w:hAnsi="Segoe UI" w:cs="Segoe UI"/>
            <w:color w:val="464FEB"/>
            <w:kern w:val="0"/>
            <w:sz w:val="21"/>
            <w:szCs w:val="21"/>
            <w14:ligatures w14:val="none"/>
          </w:rPr>
          <w:t>-security-principles</w:t>
        </w:r>
      </w:hyperlink>
    </w:p>
    <w:p w14:paraId="227727C3"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[4] </w:t>
      </w:r>
      <w:hyperlink r:id="rId359" w:history="1">
        <w:r w:rsidRPr="004A6C77">
          <w:rPr>
            <w:rFonts w:ascii="Segoe UI" w:eastAsia="Times New Roman" w:hAnsi="Segoe UI" w:cs="Segoe UI"/>
            <w:color w:val="464FEB"/>
            <w:kern w:val="0"/>
            <w:sz w:val="21"/>
            <w:szCs w:val="21"/>
            <w14:ligatures w14:val="none"/>
          </w:rPr>
          <w:t xml:space="preserve">Andersen 1040 Workflow Summary and Recommendations </w:t>
        </w:r>
        <w:proofErr w:type="spellStart"/>
        <w:r w:rsidRPr="004A6C77">
          <w:rPr>
            <w:rFonts w:ascii="Segoe UI" w:eastAsia="Times New Roman" w:hAnsi="Segoe UI" w:cs="Segoe UI"/>
            <w:color w:val="464FEB"/>
            <w:kern w:val="0"/>
            <w:sz w:val="21"/>
            <w:szCs w:val="21"/>
            <w14:ligatures w14:val="none"/>
          </w:rPr>
          <w:t>Recommendations</w:t>
        </w:r>
        <w:proofErr w:type="spellEnd"/>
      </w:hyperlink>
    </w:p>
    <w:p w14:paraId="503D276D"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[5] </w:t>
      </w:r>
      <w:hyperlink r:id="rId360" w:history="1">
        <w:r w:rsidRPr="004A6C77">
          <w:rPr>
            <w:rFonts w:ascii="Segoe UI" w:eastAsia="Times New Roman" w:hAnsi="Segoe UI" w:cs="Segoe UI"/>
            <w:color w:val="464FEB"/>
            <w:kern w:val="0"/>
            <w:sz w:val="21"/>
            <w:szCs w:val="21"/>
            <w14:ligatures w14:val="none"/>
          </w:rPr>
          <w:t>Thomson Reuters Generative AI Platform</w:t>
        </w:r>
      </w:hyperlink>
    </w:p>
    <w:p w14:paraId="551E544B"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[6] </w:t>
      </w:r>
      <w:hyperlink r:id="rId361" w:history="1">
        <w:r w:rsidRPr="004A6C77">
          <w:rPr>
            <w:rFonts w:ascii="Segoe UI" w:eastAsia="Times New Roman" w:hAnsi="Segoe UI" w:cs="Segoe UI"/>
            <w:color w:val="464FEB"/>
            <w:kern w:val="0"/>
            <w:sz w:val="21"/>
            <w:szCs w:val="21"/>
            <w14:ligatures w14:val="none"/>
          </w:rPr>
          <w:t>Q2 2023 Content Ops Townhall June 6, 2023</w:t>
        </w:r>
      </w:hyperlink>
    </w:p>
    <w:p w14:paraId="079496F8"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[7] </w:t>
      </w:r>
      <w:hyperlink r:id="rId362" w:history="1">
        <w:r w:rsidRPr="004A6C77">
          <w:rPr>
            <w:rFonts w:ascii="Segoe UI" w:eastAsia="Times New Roman" w:hAnsi="Segoe UI" w:cs="Segoe UI"/>
            <w:color w:val="464FEB"/>
            <w:kern w:val="0"/>
            <w:sz w:val="21"/>
            <w:szCs w:val="21"/>
            <w14:ligatures w14:val="none"/>
          </w:rPr>
          <w:t>Sustainability: Leveraging Microsoft Azure and M365 for Carbon Reduction</w:t>
        </w:r>
      </w:hyperlink>
    </w:p>
    <w:p w14:paraId="6A7053C6"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[8] </w:t>
      </w:r>
      <w:hyperlink r:id="rId363" w:history="1">
        <w:r w:rsidRPr="004A6C77">
          <w:rPr>
            <w:rFonts w:ascii="Segoe UI" w:eastAsia="Times New Roman" w:hAnsi="Segoe UI" w:cs="Segoe UI"/>
            <w:color w:val="464FEB"/>
            <w:kern w:val="0"/>
            <w:sz w:val="21"/>
            <w:szCs w:val="21"/>
            <w14:ligatures w14:val="none"/>
          </w:rPr>
          <w:t>Thomson Reuters_HRGenie_FDD_v1</w:t>
        </w:r>
      </w:hyperlink>
    </w:p>
    <w:p w14:paraId="724ACF28"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[9] </w:t>
      </w:r>
      <w:hyperlink r:id="rId364" w:history="1">
        <w:r w:rsidRPr="004A6C77">
          <w:rPr>
            <w:rFonts w:ascii="Segoe UI" w:eastAsia="Times New Roman" w:hAnsi="Segoe UI" w:cs="Segoe UI"/>
            <w:color w:val="464FEB"/>
            <w:kern w:val="0"/>
            <w:sz w:val="21"/>
            <w:szCs w:val="21"/>
            <w14:ligatures w14:val="none"/>
          </w:rPr>
          <w:t>1a-Prompt_Internal Company Intelligence</w:t>
        </w:r>
      </w:hyperlink>
    </w:p>
    <w:p w14:paraId="3AFA37E1" w14:textId="77777777" w:rsidR="004A6C77" w:rsidRPr="004A6C77" w:rsidRDefault="004A6C77" w:rsidP="004A6C77">
      <w:pPr>
        <w:spacing w:after="0" w:line="300" w:lineRule="atLeast"/>
        <w:rPr>
          <w:rFonts w:ascii="Segoe UI" w:eastAsia="Times New Roman" w:hAnsi="Segoe UI" w:cs="Segoe UI"/>
          <w:kern w:val="0"/>
          <w:sz w:val="21"/>
          <w:szCs w:val="21"/>
          <w14:ligatures w14:val="none"/>
        </w:rPr>
      </w:pPr>
      <w:r w:rsidRPr="004A6C77">
        <w:rPr>
          <w:rFonts w:ascii="Segoe UI" w:eastAsia="Times New Roman" w:hAnsi="Segoe UI" w:cs="Segoe UI"/>
          <w:kern w:val="0"/>
          <w:sz w:val="21"/>
          <w:szCs w:val="21"/>
          <w14:ligatures w14:val="none"/>
        </w:rPr>
        <w:t xml:space="preserve">[10] </w:t>
      </w:r>
      <w:hyperlink r:id="rId365" w:history="1">
        <w:r w:rsidRPr="004A6C77">
          <w:rPr>
            <w:rFonts w:ascii="Segoe UI" w:eastAsia="Times New Roman" w:hAnsi="Segoe UI" w:cs="Segoe UI"/>
            <w:color w:val="464FEB"/>
            <w:kern w:val="0"/>
            <w:sz w:val="21"/>
            <w:szCs w:val="21"/>
            <w14:ligatures w14:val="none"/>
          </w:rPr>
          <w:t>Thomson Reuters - Optimizing GenAI for Sustainability</w:t>
        </w:r>
      </w:hyperlink>
    </w:p>
    <w:p w14:paraId="36D76A5B" w14:textId="77777777" w:rsidR="004A6C77" w:rsidRDefault="004A6C77"/>
    <w:sectPr w:rsidR="004A6C77" w:rsidSect="008A0827">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054"/>
    <w:multiLevelType w:val="multilevel"/>
    <w:tmpl w:val="162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1EE0"/>
    <w:multiLevelType w:val="multilevel"/>
    <w:tmpl w:val="52A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7E4"/>
    <w:multiLevelType w:val="multilevel"/>
    <w:tmpl w:val="96F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12A8"/>
    <w:multiLevelType w:val="multilevel"/>
    <w:tmpl w:val="BBF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03D9C"/>
    <w:multiLevelType w:val="multilevel"/>
    <w:tmpl w:val="A73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818C6"/>
    <w:multiLevelType w:val="multilevel"/>
    <w:tmpl w:val="11F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85564"/>
    <w:multiLevelType w:val="multilevel"/>
    <w:tmpl w:val="437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45ECC"/>
    <w:multiLevelType w:val="multilevel"/>
    <w:tmpl w:val="E82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E0E19"/>
    <w:multiLevelType w:val="multilevel"/>
    <w:tmpl w:val="041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FDC"/>
    <w:multiLevelType w:val="multilevel"/>
    <w:tmpl w:val="67A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17725"/>
    <w:multiLevelType w:val="multilevel"/>
    <w:tmpl w:val="269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640BD"/>
    <w:multiLevelType w:val="multilevel"/>
    <w:tmpl w:val="C66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41242"/>
    <w:multiLevelType w:val="multilevel"/>
    <w:tmpl w:val="651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5244F"/>
    <w:multiLevelType w:val="multilevel"/>
    <w:tmpl w:val="56B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67A27"/>
    <w:multiLevelType w:val="multilevel"/>
    <w:tmpl w:val="E3E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F057F"/>
    <w:multiLevelType w:val="multilevel"/>
    <w:tmpl w:val="250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A399B"/>
    <w:multiLevelType w:val="multilevel"/>
    <w:tmpl w:val="7E2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01207"/>
    <w:multiLevelType w:val="multilevel"/>
    <w:tmpl w:val="B00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8170B"/>
    <w:multiLevelType w:val="multilevel"/>
    <w:tmpl w:val="7A7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282310">
    <w:abstractNumId w:val="7"/>
  </w:num>
  <w:num w:numId="2" w16cid:durableId="819931745">
    <w:abstractNumId w:val="8"/>
  </w:num>
  <w:num w:numId="3" w16cid:durableId="204146110">
    <w:abstractNumId w:val="2"/>
  </w:num>
  <w:num w:numId="4" w16cid:durableId="1231697537">
    <w:abstractNumId w:val="1"/>
  </w:num>
  <w:num w:numId="5" w16cid:durableId="1177034681">
    <w:abstractNumId w:val="9"/>
  </w:num>
  <w:num w:numId="6" w16cid:durableId="1897430826">
    <w:abstractNumId w:val="6"/>
  </w:num>
  <w:num w:numId="7" w16cid:durableId="1019430595">
    <w:abstractNumId w:val="11"/>
  </w:num>
  <w:num w:numId="8" w16cid:durableId="339427816">
    <w:abstractNumId w:val="13"/>
  </w:num>
  <w:num w:numId="9" w16cid:durableId="578367860">
    <w:abstractNumId w:val="10"/>
  </w:num>
  <w:num w:numId="10" w16cid:durableId="1702894924">
    <w:abstractNumId w:val="18"/>
  </w:num>
  <w:num w:numId="11" w16cid:durableId="1151680335">
    <w:abstractNumId w:val="5"/>
  </w:num>
  <w:num w:numId="12" w16cid:durableId="323246626">
    <w:abstractNumId w:val="4"/>
  </w:num>
  <w:num w:numId="13" w16cid:durableId="124466328">
    <w:abstractNumId w:val="3"/>
  </w:num>
  <w:num w:numId="14" w16cid:durableId="1363703067">
    <w:abstractNumId w:val="15"/>
  </w:num>
  <w:num w:numId="15" w16cid:durableId="2008053349">
    <w:abstractNumId w:val="14"/>
  </w:num>
  <w:num w:numId="16" w16cid:durableId="518390659">
    <w:abstractNumId w:val="17"/>
  </w:num>
  <w:num w:numId="17" w16cid:durableId="2073699490">
    <w:abstractNumId w:val="16"/>
  </w:num>
  <w:num w:numId="18" w16cid:durableId="196160661">
    <w:abstractNumId w:val="12"/>
  </w:num>
  <w:num w:numId="19" w16cid:durableId="13226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27"/>
    <w:rsid w:val="00045DB3"/>
    <w:rsid w:val="001714F1"/>
    <w:rsid w:val="002154B0"/>
    <w:rsid w:val="003204D3"/>
    <w:rsid w:val="00375F22"/>
    <w:rsid w:val="00493AAC"/>
    <w:rsid w:val="004A6C77"/>
    <w:rsid w:val="004B25EF"/>
    <w:rsid w:val="00537306"/>
    <w:rsid w:val="006B504C"/>
    <w:rsid w:val="007F422A"/>
    <w:rsid w:val="008A0827"/>
    <w:rsid w:val="009C3773"/>
    <w:rsid w:val="009E2959"/>
    <w:rsid w:val="00AF5BFA"/>
    <w:rsid w:val="00B363BE"/>
    <w:rsid w:val="00E90C1B"/>
    <w:rsid w:val="00EE3079"/>
    <w:rsid w:val="00F3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E4F042D"/>
  <w15:chartTrackingRefBased/>
  <w15:docId w15:val="{57477BCC-86F9-F840-AAC4-738CE311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0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0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827"/>
    <w:rPr>
      <w:rFonts w:eastAsiaTheme="majorEastAsia" w:cstheme="majorBidi"/>
      <w:color w:val="272727" w:themeColor="text1" w:themeTint="D8"/>
    </w:rPr>
  </w:style>
  <w:style w:type="paragraph" w:styleId="Title">
    <w:name w:val="Title"/>
    <w:basedOn w:val="Normal"/>
    <w:next w:val="Normal"/>
    <w:link w:val="TitleChar"/>
    <w:uiPriority w:val="10"/>
    <w:qFormat/>
    <w:rsid w:val="008A0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827"/>
    <w:pPr>
      <w:spacing w:before="160"/>
      <w:jc w:val="center"/>
    </w:pPr>
    <w:rPr>
      <w:i/>
      <w:iCs/>
      <w:color w:val="404040" w:themeColor="text1" w:themeTint="BF"/>
    </w:rPr>
  </w:style>
  <w:style w:type="character" w:customStyle="1" w:styleId="QuoteChar">
    <w:name w:val="Quote Char"/>
    <w:basedOn w:val="DefaultParagraphFont"/>
    <w:link w:val="Quote"/>
    <w:uiPriority w:val="29"/>
    <w:rsid w:val="008A0827"/>
    <w:rPr>
      <w:i/>
      <w:iCs/>
      <w:color w:val="404040" w:themeColor="text1" w:themeTint="BF"/>
    </w:rPr>
  </w:style>
  <w:style w:type="paragraph" w:styleId="ListParagraph">
    <w:name w:val="List Paragraph"/>
    <w:basedOn w:val="Normal"/>
    <w:uiPriority w:val="34"/>
    <w:qFormat/>
    <w:rsid w:val="008A0827"/>
    <w:pPr>
      <w:ind w:left="720"/>
      <w:contextualSpacing/>
    </w:pPr>
  </w:style>
  <w:style w:type="character" w:styleId="IntenseEmphasis">
    <w:name w:val="Intense Emphasis"/>
    <w:basedOn w:val="DefaultParagraphFont"/>
    <w:uiPriority w:val="21"/>
    <w:qFormat/>
    <w:rsid w:val="008A0827"/>
    <w:rPr>
      <w:i/>
      <w:iCs/>
      <w:color w:val="0F4761" w:themeColor="accent1" w:themeShade="BF"/>
    </w:rPr>
  </w:style>
  <w:style w:type="paragraph" w:styleId="IntenseQuote">
    <w:name w:val="Intense Quote"/>
    <w:basedOn w:val="Normal"/>
    <w:next w:val="Normal"/>
    <w:link w:val="IntenseQuoteChar"/>
    <w:uiPriority w:val="30"/>
    <w:qFormat/>
    <w:rsid w:val="008A0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827"/>
    <w:rPr>
      <w:i/>
      <w:iCs/>
      <w:color w:val="0F4761" w:themeColor="accent1" w:themeShade="BF"/>
    </w:rPr>
  </w:style>
  <w:style w:type="character" w:styleId="IntenseReference">
    <w:name w:val="Intense Reference"/>
    <w:basedOn w:val="DefaultParagraphFont"/>
    <w:uiPriority w:val="32"/>
    <w:qFormat/>
    <w:rsid w:val="008A0827"/>
    <w:rPr>
      <w:b/>
      <w:bCs/>
      <w:smallCaps/>
      <w:color w:val="0F4761" w:themeColor="accent1" w:themeShade="BF"/>
      <w:spacing w:val="5"/>
    </w:rPr>
  </w:style>
  <w:style w:type="character" w:styleId="Hyperlink">
    <w:name w:val="Hyperlink"/>
    <w:basedOn w:val="DefaultParagraphFont"/>
    <w:uiPriority w:val="99"/>
    <w:semiHidden/>
    <w:unhideWhenUsed/>
    <w:rsid w:val="008A0827"/>
    <w:rPr>
      <w:strike w:val="0"/>
      <w:dstrike w:val="0"/>
      <w:color w:val="464FEB"/>
      <w:u w:val="none"/>
      <w:effect w:val="none"/>
    </w:rPr>
  </w:style>
  <w:style w:type="paragraph" w:styleId="NormalWeb">
    <w:name w:val="Normal (Web)"/>
    <w:basedOn w:val="Normal"/>
    <w:uiPriority w:val="99"/>
    <w:semiHidden/>
    <w:unhideWhenUsed/>
    <w:rsid w:val="008A08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0827"/>
    <w:rPr>
      <w:b/>
      <w:bCs/>
    </w:rPr>
  </w:style>
  <w:style w:type="character" w:styleId="Emphasis">
    <w:name w:val="Emphasis"/>
    <w:basedOn w:val="DefaultParagraphFont"/>
    <w:uiPriority w:val="20"/>
    <w:qFormat/>
    <w:rsid w:val="008A08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789790">
      <w:bodyDiv w:val="1"/>
      <w:marLeft w:val="0"/>
      <w:marRight w:val="0"/>
      <w:marTop w:val="0"/>
      <w:marBottom w:val="0"/>
      <w:divBdr>
        <w:top w:val="none" w:sz="0" w:space="0" w:color="auto"/>
        <w:left w:val="none" w:sz="0" w:space="0" w:color="auto"/>
        <w:bottom w:val="none" w:sz="0" w:space="0" w:color="auto"/>
        <w:right w:val="none" w:sz="0" w:space="0" w:color="auto"/>
      </w:divBdr>
      <w:divsChild>
        <w:div w:id="514348226">
          <w:marLeft w:val="0"/>
          <w:marRight w:val="0"/>
          <w:marTop w:val="0"/>
          <w:marBottom w:val="0"/>
          <w:divBdr>
            <w:top w:val="none" w:sz="0" w:space="0" w:color="auto"/>
            <w:left w:val="none" w:sz="0" w:space="0" w:color="auto"/>
            <w:bottom w:val="none" w:sz="0" w:space="0" w:color="auto"/>
            <w:right w:val="none" w:sz="0" w:space="0" w:color="auto"/>
          </w:divBdr>
        </w:div>
        <w:div w:id="783890107">
          <w:marLeft w:val="0"/>
          <w:marRight w:val="0"/>
          <w:marTop w:val="0"/>
          <w:marBottom w:val="0"/>
          <w:divBdr>
            <w:top w:val="none" w:sz="0" w:space="0" w:color="auto"/>
            <w:left w:val="none" w:sz="0" w:space="0" w:color="auto"/>
            <w:bottom w:val="none" w:sz="0" w:space="0" w:color="auto"/>
            <w:right w:val="none" w:sz="0" w:space="0" w:color="auto"/>
          </w:divBdr>
        </w:div>
        <w:div w:id="1061756671">
          <w:marLeft w:val="0"/>
          <w:marRight w:val="0"/>
          <w:marTop w:val="0"/>
          <w:marBottom w:val="0"/>
          <w:divBdr>
            <w:top w:val="none" w:sz="0" w:space="0" w:color="auto"/>
            <w:left w:val="none" w:sz="0" w:space="0" w:color="auto"/>
            <w:bottom w:val="none" w:sz="0" w:space="0" w:color="auto"/>
            <w:right w:val="none" w:sz="0" w:space="0" w:color="auto"/>
          </w:divBdr>
          <w:divsChild>
            <w:div w:id="1057708514">
              <w:marLeft w:val="0"/>
              <w:marRight w:val="0"/>
              <w:marTop w:val="0"/>
              <w:marBottom w:val="0"/>
              <w:divBdr>
                <w:top w:val="none" w:sz="0" w:space="0" w:color="auto"/>
                <w:left w:val="none" w:sz="0" w:space="0" w:color="auto"/>
                <w:bottom w:val="none" w:sz="0" w:space="0" w:color="auto"/>
                <w:right w:val="none" w:sz="0" w:space="0" w:color="auto"/>
              </w:divBdr>
            </w:div>
            <w:div w:id="1424230623">
              <w:marLeft w:val="0"/>
              <w:marRight w:val="0"/>
              <w:marTop w:val="0"/>
              <w:marBottom w:val="0"/>
              <w:divBdr>
                <w:top w:val="none" w:sz="0" w:space="0" w:color="auto"/>
                <w:left w:val="none" w:sz="0" w:space="0" w:color="auto"/>
                <w:bottom w:val="none" w:sz="0" w:space="0" w:color="auto"/>
                <w:right w:val="none" w:sz="0" w:space="0" w:color="auto"/>
              </w:divBdr>
            </w:div>
            <w:div w:id="1886260787">
              <w:marLeft w:val="0"/>
              <w:marRight w:val="0"/>
              <w:marTop w:val="0"/>
              <w:marBottom w:val="0"/>
              <w:divBdr>
                <w:top w:val="none" w:sz="0" w:space="0" w:color="auto"/>
                <w:left w:val="none" w:sz="0" w:space="0" w:color="auto"/>
                <w:bottom w:val="none" w:sz="0" w:space="0" w:color="auto"/>
                <w:right w:val="none" w:sz="0" w:space="0" w:color="auto"/>
              </w:divBdr>
            </w:div>
            <w:div w:id="13275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9042">
      <w:bodyDiv w:val="1"/>
      <w:marLeft w:val="0"/>
      <w:marRight w:val="0"/>
      <w:marTop w:val="0"/>
      <w:marBottom w:val="0"/>
      <w:divBdr>
        <w:top w:val="none" w:sz="0" w:space="0" w:color="auto"/>
        <w:left w:val="none" w:sz="0" w:space="0" w:color="auto"/>
        <w:bottom w:val="none" w:sz="0" w:space="0" w:color="auto"/>
        <w:right w:val="none" w:sz="0" w:space="0" w:color="auto"/>
      </w:divBdr>
      <w:divsChild>
        <w:div w:id="347105599">
          <w:marLeft w:val="0"/>
          <w:marRight w:val="0"/>
          <w:marTop w:val="0"/>
          <w:marBottom w:val="0"/>
          <w:divBdr>
            <w:top w:val="none" w:sz="0" w:space="0" w:color="auto"/>
            <w:left w:val="none" w:sz="0" w:space="0" w:color="auto"/>
            <w:bottom w:val="none" w:sz="0" w:space="0" w:color="auto"/>
            <w:right w:val="none" w:sz="0" w:space="0" w:color="auto"/>
          </w:divBdr>
        </w:div>
        <w:div w:id="845708187">
          <w:marLeft w:val="0"/>
          <w:marRight w:val="0"/>
          <w:marTop w:val="0"/>
          <w:marBottom w:val="0"/>
          <w:divBdr>
            <w:top w:val="none" w:sz="0" w:space="0" w:color="auto"/>
            <w:left w:val="none" w:sz="0" w:space="0" w:color="auto"/>
            <w:bottom w:val="none" w:sz="0" w:space="0" w:color="auto"/>
            <w:right w:val="none" w:sz="0" w:space="0" w:color="auto"/>
          </w:divBdr>
        </w:div>
        <w:div w:id="714741883">
          <w:marLeft w:val="0"/>
          <w:marRight w:val="0"/>
          <w:marTop w:val="0"/>
          <w:marBottom w:val="0"/>
          <w:divBdr>
            <w:top w:val="none" w:sz="0" w:space="0" w:color="auto"/>
            <w:left w:val="none" w:sz="0" w:space="0" w:color="auto"/>
            <w:bottom w:val="none" w:sz="0" w:space="0" w:color="auto"/>
            <w:right w:val="none" w:sz="0" w:space="0" w:color="auto"/>
          </w:divBdr>
          <w:divsChild>
            <w:div w:id="339624800">
              <w:marLeft w:val="0"/>
              <w:marRight w:val="0"/>
              <w:marTop w:val="0"/>
              <w:marBottom w:val="0"/>
              <w:divBdr>
                <w:top w:val="none" w:sz="0" w:space="0" w:color="auto"/>
                <w:left w:val="none" w:sz="0" w:space="0" w:color="auto"/>
                <w:bottom w:val="none" w:sz="0" w:space="0" w:color="auto"/>
                <w:right w:val="none" w:sz="0" w:space="0" w:color="auto"/>
              </w:divBdr>
            </w:div>
            <w:div w:id="1138718512">
              <w:marLeft w:val="0"/>
              <w:marRight w:val="0"/>
              <w:marTop w:val="0"/>
              <w:marBottom w:val="0"/>
              <w:divBdr>
                <w:top w:val="none" w:sz="0" w:space="0" w:color="auto"/>
                <w:left w:val="none" w:sz="0" w:space="0" w:color="auto"/>
                <w:bottom w:val="none" w:sz="0" w:space="0" w:color="auto"/>
                <w:right w:val="none" w:sz="0" w:space="0" w:color="auto"/>
              </w:divBdr>
            </w:div>
            <w:div w:id="291642500">
              <w:marLeft w:val="0"/>
              <w:marRight w:val="0"/>
              <w:marTop w:val="0"/>
              <w:marBottom w:val="0"/>
              <w:divBdr>
                <w:top w:val="none" w:sz="0" w:space="0" w:color="auto"/>
                <w:left w:val="none" w:sz="0" w:space="0" w:color="auto"/>
                <w:bottom w:val="none" w:sz="0" w:space="0" w:color="auto"/>
                <w:right w:val="none" w:sz="0" w:space="0" w:color="auto"/>
              </w:divBdr>
            </w:div>
            <w:div w:id="176580766">
              <w:marLeft w:val="0"/>
              <w:marRight w:val="0"/>
              <w:marTop w:val="0"/>
              <w:marBottom w:val="0"/>
              <w:divBdr>
                <w:top w:val="none" w:sz="0" w:space="0" w:color="auto"/>
                <w:left w:val="none" w:sz="0" w:space="0" w:color="auto"/>
                <w:bottom w:val="none" w:sz="0" w:space="0" w:color="auto"/>
                <w:right w:val="none" w:sz="0" w:space="0" w:color="auto"/>
              </w:divBdr>
            </w:div>
            <w:div w:id="227543643">
              <w:marLeft w:val="0"/>
              <w:marRight w:val="0"/>
              <w:marTop w:val="0"/>
              <w:marBottom w:val="0"/>
              <w:divBdr>
                <w:top w:val="none" w:sz="0" w:space="0" w:color="auto"/>
                <w:left w:val="none" w:sz="0" w:space="0" w:color="auto"/>
                <w:bottom w:val="none" w:sz="0" w:space="0" w:color="auto"/>
                <w:right w:val="none" w:sz="0" w:space="0" w:color="auto"/>
              </w:divBdr>
            </w:div>
            <w:div w:id="1592472596">
              <w:marLeft w:val="0"/>
              <w:marRight w:val="0"/>
              <w:marTop w:val="0"/>
              <w:marBottom w:val="0"/>
              <w:divBdr>
                <w:top w:val="none" w:sz="0" w:space="0" w:color="auto"/>
                <w:left w:val="none" w:sz="0" w:space="0" w:color="auto"/>
                <w:bottom w:val="none" w:sz="0" w:space="0" w:color="auto"/>
                <w:right w:val="none" w:sz="0" w:space="0" w:color="auto"/>
              </w:divBdr>
            </w:div>
            <w:div w:id="1786150891">
              <w:marLeft w:val="0"/>
              <w:marRight w:val="0"/>
              <w:marTop w:val="0"/>
              <w:marBottom w:val="0"/>
              <w:divBdr>
                <w:top w:val="none" w:sz="0" w:space="0" w:color="auto"/>
                <w:left w:val="none" w:sz="0" w:space="0" w:color="auto"/>
                <w:bottom w:val="none" w:sz="0" w:space="0" w:color="auto"/>
                <w:right w:val="none" w:sz="0" w:space="0" w:color="auto"/>
              </w:divBdr>
            </w:div>
            <w:div w:id="686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7990">
      <w:bodyDiv w:val="1"/>
      <w:marLeft w:val="0"/>
      <w:marRight w:val="0"/>
      <w:marTop w:val="0"/>
      <w:marBottom w:val="0"/>
      <w:divBdr>
        <w:top w:val="none" w:sz="0" w:space="0" w:color="auto"/>
        <w:left w:val="none" w:sz="0" w:space="0" w:color="auto"/>
        <w:bottom w:val="none" w:sz="0" w:space="0" w:color="auto"/>
        <w:right w:val="none" w:sz="0" w:space="0" w:color="auto"/>
      </w:divBdr>
      <w:divsChild>
        <w:div w:id="573710610">
          <w:marLeft w:val="0"/>
          <w:marRight w:val="0"/>
          <w:marTop w:val="0"/>
          <w:marBottom w:val="0"/>
          <w:divBdr>
            <w:top w:val="none" w:sz="0" w:space="0" w:color="auto"/>
            <w:left w:val="none" w:sz="0" w:space="0" w:color="auto"/>
            <w:bottom w:val="none" w:sz="0" w:space="0" w:color="auto"/>
            <w:right w:val="none" w:sz="0" w:space="0" w:color="auto"/>
          </w:divBdr>
        </w:div>
        <w:div w:id="1255742085">
          <w:marLeft w:val="0"/>
          <w:marRight w:val="0"/>
          <w:marTop w:val="0"/>
          <w:marBottom w:val="0"/>
          <w:divBdr>
            <w:top w:val="none" w:sz="0" w:space="0" w:color="auto"/>
            <w:left w:val="none" w:sz="0" w:space="0" w:color="auto"/>
            <w:bottom w:val="none" w:sz="0" w:space="0" w:color="auto"/>
            <w:right w:val="none" w:sz="0" w:space="0" w:color="auto"/>
          </w:divBdr>
        </w:div>
        <w:div w:id="1787045589">
          <w:marLeft w:val="0"/>
          <w:marRight w:val="0"/>
          <w:marTop w:val="0"/>
          <w:marBottom w:val="0"/>
          <w:divBdr>
            <w:top w:val="none" w:sz="0" w:space="0" w:color="auto"/>
            <w:left w:val="none" w:sz="0" w:space="0" w:color="auto"/>
            <w:bottom w:val="none" w:sz="0" w:space="0" w:color="auto"/>
            <w:right w:val="none" w:sz="0" w:space="0" w:color="auto"/>
          </w:divBdr>
          <w:divsChild>
            <w:div w:id="1885484125">
              <w:marLeft w:val="0"/>
              <w:marRight w:val="0"/>
              <w:marTop w:val="0"/>
              <w:marBottom w:val="0"/>
              <w:divBdr>
                <w:top w:val="none" w:sz="0" w:space="0" w:color="auto"/>
                <w:left w:val="none" w:sz="0" w:space="0" w:color="auto"/>
                <w:bottom w:val="none" w:sz="0" w:space="0" w:color="auto"/>
                <w:right w:val="none" w:sz="0" w:space="0" w:color="auto"/>
              </w:divBdr>
            </w:div>
            <w:div w:id="2110613029">
              <w:marLeft w:val="0"/>
              <w:marRight w:val="0"/>
              <w:marTop w:val="0"/>
              <w:marBottom w:val="0"/>
              <w:divBdr>
                <w:top w:val="none" w:sz="0" w:space="0" w:color="auto"/>
                <w:left w:val="none" w:sz="0" w:space="0" w:color="auto"/>
                <w:bottom w:val="none" w:sz="0" w:space="0" w:color="auto"/>
                <w:right w:val="none" w:sz="0" w:space="0" w:color="auto"/>
              </w:divBdr>
            </w:div>
            <w:div w:id="849880447">
              <w:marLeft w:val="0"/>
              <w:marRight w:val="0"/>
              <w:marTop w:val="0"/>
              <w:marBottom w:val="0"/>
              <w:divBdr>
                <w:top w:val="none" w:sz="0" w:space="0" w:color="auto"/>
                <w:left w:val="none" w:sz="0" w:space="0" w:color="auto"/>
                <w:bottom w:val="none" w:sz="0" w:space="0" w:color="auto"/>
                <w:right w:val="none" w:sz="0" w:space="0" w:color="auto"/>
              </w:divBdr>
            </w:div>
            <w:div w:id="189103644">
              <w:marLeft w:val="0"/>
              <w:marRight w:val="0"/>
              <w:marTop w:val="0"/>
              <w:marBottom w:val="0"/>
              <w:divBdr>
                <w:top w:val="none" w:sz="0" w:space="0" w:color="auto"/>
                <w:left w:val="none" w:sz="0" w:space="0" w:color="auto"/>
                <w:bottom w:val="none" w:sz="0" w:space="0" w:color="auto"/>
                <w:right w:val="none" w:sz="0" w:space="0" w:color="auto"/>
              </w:divBdr>
            </w:div>
            <w:div w:id="628588110">
              <w:marLeft w:val="0"/>
              <w:marRight w:val="0"/>
              <w:marTop w:val="0"/>
              <w:marBottom w:val="0"/>
              <w:divBdr>
                <w:top w:val="none" w:sz="0" w:space="0" w:color="auto"/>
                <w:left w:val="none" w:sz="0" w:space="0" w:color="auto"/>
                <w:bottom w:val="none" w:sz="0" w:space="0" w:color="auto"/>
                <w:right w:val="none" w:sz="0" w:space="0" w:color="auto"/>
              </w:divBdr>
            </w:div>
            <w:div w:id="715930057">
              <w:marLeft w:val="0"/>
              <w:marRight w:val="0"/>
              <w:marTop w:val="0"/>
              <w:marBottom w:val="0"/>
              <w:divBdr>
                <w:top w:val="none" w:sz="0" w:space="0" w:color="auto"/>
                <w:left w:val="none" w:sz="0" w:space="0" w:color="auto"/>
                <w:bottom w:val="none" w:sz="0" w:space="0" w:color="auto"/>
                <w:right w:val="none" w:sz="0" w:space="0" w:color="auto"/>
              </w:divBdr>
            </w:div>
            <w:div w:id="1940093675">
              <w:marLeft w:val="0"/>
              <w:marRight w:val="0"/>
              <w:marTop w:val="0"/>
              <w:marBottom w:val="0"/>
              <w:divBdr>
                <w:top w:val="none" w:sz="0" w:space="0" w:color="auto"/>
                <w:left w:val="none" w:sz="0" w:space="0" w:color="auto"/>
                <w:bottom w:val="none" w:sz="0" w:space="0" w:color="auto"/>
                <w:right w:val="none" w:sz="0" w:space="0" w:color="auto"/>
              </w:divBdr>
            </w:div>
            <w:div w:id="987712526">
              <w:marLeft w:val="0"/>
              <w:marRight w:val="0"/>
              <w:marTop w:val="0"/>
              <w:marBottom w:val="0"/>
              <w:divBdr>
                <w:top w:val="none" w:sz="0" w:space="0" w:color="auto"/>
                <w:left w:val="none" w:sz="0" w:space="0" w:color="auto"/>
                <w:bottom w:val="none" w:sz="0" w:space="0" w:color="auto"/>
                <w:right w:val="none" w:sz="0" w:space="0" w:color="auto"/>
              </w:divBdr>
            </w:div>
            <w:div w:id="1491749191">
              <w:marLeft w:val="0"/>
              <w:marRight w:val="0"/>
              <w:marTop w:val="0"/>
              <w:marBottom w:val="0"/>
              <w:divBdr>
                <w:top w:val="none" w:sz="0" w:space="0" w:color="auto"/>
                <w:left w:val="none" w:sz="0" w:space="0" w:color="auto"/>
                <w:bottom w:val="none" w:sz="0" w:space="0" w:color="auto"/>
                <w:right w:val="none" w:sz="0" w:space="0" w:color="auto"/>
              </w:divBdr>
            </w:div>
            <w:div w:id="11394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74870">
      <w:bodyDiv w:val="1"/>
      <w:marLeft w:val="0"/>
      <w:marRight w:val="0"/>
      <w:marTop w:val="0"/>
      <w:marBottom w:val="0"/>
      <w:divBdr>
        <w:top w:val="none" w:sz="0" w:space="0" w:color="auto"/>
        <w:left w:val="none" w:sz="0" w:space="0" w:color="auto"/>
        <w:bottom w:val="none" w:sz="0" w:space="0" w:color="auto"/>
        <w:right w:val="none" w:sz="0" w:space="0" w:color="auto"/>
      </w:divBdr>
      <w:divsChild>
        <w:div w:id="922373084">
          <w:marLeft w:val="0"/>
          <w:marRight w:val="0"/>
          <w:marTop w:val="0"/>
          <w:marBottom w:val="0"/>
          <w:divBdr>
            <w:top w:val="none" w:sz="0" w:space="0" w:color="auto"/>
            <w:left w:val="none" w:sz="0" w:space="0" w:color="auto"/>
            <w:bottom w:val="none" w:sz="0" w:space="0" w:color="auto"/>
            <w:right w:val="none" w:sz="0" w:space="0" w:color="auto"/>
          </w:divBdr>
          <w:divsChild>
            <w:div w:id="1663925735">
              <w:marLeft w:val="0"/>
              <w:marRight w:val="0"/>
              <w:marTop w:val="0"/>
              <w:marBottom w:val="0"/>
              <w:divBdr>
                <w:top w:val="none" w:sz="0" w:space="0" w:color="auto"/>
                <w:left w:val="none" w:sz="0" w:space="0" w:color="auto"/>
                <w:bottom w:val="none" w:sz="0" w:space="0" w:color="auto"/>
                <w:right w:val="none" w:sz="0" w:space="0" w:color="auto"/>
              </w:divBdr>
              <w:divsChild>
                <w:div w:id="12741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6263">
          <w:marLeft w:val="0"/>
          <w:marRight w:val="0"/>
          <w:marTop w:val="0"/>
          <w:marBottom w:val="0"/>
          <w:divBdr>
            <w:top w:val="none" w:sz="0" w:space="0" w:color="auto"/>
            <w:left w:val="none" w:sz="0" w:space="0" w:color="auto"/>
            <w:bottom w:val="none" w:sz="0" w:space="0" w:color="auto"/>
            <w:right w:val="none" w:sz="0" w:space="0" w:color="auto"/>
          </w:divBdr>
        </w:div>
        <w:div w:id="1722436575">
          <w:marLeft w:val="0"/>
          <w:marRight w:val="0"/>
          <w:marTop w:val="0"/>
          <w:marBottom w:val="0"/>
          <w:divBdr>
            <w:top w:val="none" w:sz="0" w:space="0" w:color="auto"/>
            <w:left w:val="none" w:sz="0" w:space="0" w:color="auto"/>
            <w:bottom w:val="none" w:sz="0" w:space="0" w:color="auto"/>
            <w:right w:val="none" w:sz="0" w:space="0" w:color="auto"/>
          </w:divBdr>
          <w:divsChild>
            <w:div w:id="1763985155">
              <w:marLeft w:val="0"/>
              <w:marRight w:val="0"/>
              <w:marTop w:val="0"/>
              <w:marBottom w:val="0"/>
              <w:divBdr>
                <w:top w:val="none" w:sz="0" w:space="0" w:color="auto"/>
                <w:left w:val="none" w:sz="0" w:space="0" w:color="auto"/>
                <w:bottom w:val="none" w:sz="0" w:space="0" w:color="auto"/>
                <w:right w:val="none" w:sz="0" w:space="0" w:color="auto"/>
              </w:divBdr>
            </w:div>
            <w:div w:id="1811820536">
              <w:marLeft w:val="0"/>
              <w:marRight w:val="0"/>
              <w:marTop w:val="0"/>
              <w:marBottom w:val="0"/>
              <w:divBdr>
                <w:top w:val="none" w:sz="0" w:space="0" w:color="auto"/>
                <w:left w:val="none" w:sz="0" w:space="0" w:color="auto"/>
                <w:bottom w:val="none" w:sz="0" w:space="0" w:color="auto"/>
                <w:right w:val="none" w:sz="0" w:space="0" w:color="auto"/>
              </w:divBdr>
            </w:div>
            <w:div w:id="10867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9911">
      <w:bodyDiv w:val="1"/>
      <w:marLeft w:val="0"/>
      <w:marRight w:val="0"/>
      <w:marTop w:val="0"/>
      <w:marBottom w:val="0"/>
      <w:divBdr>
        <w:top w:val="none" w:sz="0" w:space="0" w:color="auto"/>
        <w:left w:val="none" w:sz="0" w:space="0" w:color="auto"/>
        <w:bottom w:val="none" w:sz="0" w:space="0" w:color="auto"/>
        <w:right w:val="none" w:sz="0" w:space="0" w:color="auto"/>
      </w:divBdr>
      <w:divsChild>
        <w:div w:id="1468547368">
          <w:marLeft w:val="0"/>
          <w:marRight w:val="0"/>
          <w:marTop w:val="0"/>
          <w:marBottom w:val="0"/>
          <w:divBdr>
            <w:top w:val="none" w:sz="0" w:space="0" w:color="auto"/>
            <w:left w:val="none" w:sz="0" w:space="0" w:color="auto"/>
            <w:bottom w:val="none" w:sz="0" w:space="0" w:color="auto"/>
            <w:right w:val="none" w:sz="0" w:space="0" w:color="auto"/>
          </w:divBdr>
        </w:div>
        <w:div w:id="1013998463">
          <w:marLeft w:val="0"/>
          <w:marRight w:val="0"/>
          <w:marTop w:val="0"/>
          <w:marBottom w:val="0"/>
          <w:divBdr>
            <w:top w:val="none" w:sz="0" w:space="0" w:color="auto"/>
            <w:left w:val="none" w:sz="0" w:space="0" w:color="auto"/>
            <w:bottom w:val="none" w:sz="0" w:space="0" w:color="auto"/>
            <w:right w:val="none" w:sz="0" w:space="0" w:color="auto"/>
          </w:divBdr>
        </w:div>
        <w:div w:id="1970740232">
          <w:marLeft w:val="0"/>
          <w:marRight w:val="0"/>
          <w:marTop w:val="0"/>
          <w:marBottom w:val="0"/>
          <w:divBdr>
            <w:top w:val="none" w:sz="0" w:space="0" w:color="auto"/>
            <w:left w:val="none" w:sz="0" w:space="0" w:color="auto"/>
            <w:bottom w:val="none" w:sz="0" w:space="0" w:color="auto"/>
            <w:right w:val="none" w:sz="0" w:space="0" w:color="auto"/>
          </w:divBdr>
          <w:divsChild>
            <w:div w:id="852647082">
              <w:marLeft w:val="0"/>
              <w:marRight w:val="0"/>
              <w:marTop w:val="0"/>
              <w:marBottom w:val="0"/>
              <w:divBdr>
                <w:top w:val="none" w:sz="0" w:space="0" w:color="auto"/>
                <w:left w:val="none" w:sz="0" w:space="0" w:color="auto"/>
                <w:bottom w:val="none" w:sz="0" w:space="0" w:color="auto"/>
                <w:right w:val="none" w:sz="0" w:space="0" w:color="auto"/>
              </w:divBdr>
            </w:div>
            <w:div w:id="304508150">
              <w:marLeft w:val="0"/>
              <w:marRight w:val="0"/>
              <w:marTop w:val="0"/>
              <w:marBottom w:val="0"/>
              <w:divBdr>
                <w:top w:val="none" w:sz="0" w:space="0" w:color="auto"/>
                <w:left w:val="none" w:sz="0" w:space="0" w:color="auto"/>
                <w:bottom w:val="none" w:sz="0" w:space="0" w:color="auto"/>
                <w:right w:val="none" w:sz="0" w:space="0" w:color="auto"/>
              </w:divBdr>
            </w:div>
            <w:div w:id="911626447">
              <w:marLeft w:val="0"/>
              <w:marRight w:val="0"/>
              <w:marTop w:val="0"/>
              <w:marBottom w:val="0"/>
              <w:divBdr>
                <w:top w:val="none" w:sz="0" w:space="0" w:color="auto"/>
                <w:left w:val="none" w:sz="0" w:space="0" w:color="auto"/>
                <w:bottom w:val="none" w:sz="0" w:space="0" w:color="auto"/>
                <w:right w:val="none" w:sz="0" w:space="0" w:color="auto"/>
              </w:divBdr>
            </w:div>
            <w:div w:id="591626120">
              <w:marLeft w:val="0"/>
              <w:marRight w:val="0"/>
              <w:marTop w:val="0"/>
              <w:marBottom w:val="0"/>
              <w:divBdr>
                <w:top w:val="none" w:sz="0" w:space="0" w:color="auto"/>
                <w:left w:val="none" w:sz="0" w:space="0" w:color="auto"/>
                <w:bottom w:val="none" w:sz="0" w:space="0" w:color="auto"/>
                <w:right w:val="none" w:sz="0" w:space="0" w:color="auto"/>
              </w:divBdr>
            </w:div>
            <w:div w:id="908198615">
              <w:marLeft w:val="0"/>
              <w:marRight w:val="0"/>
              <w:marTop w:val="0"/>
              <w:marBottom w:val="0"/>
              <w:divBdr>
                <w:top w:val="none" w:sz="0" w:space="0" w:color="auto"/>
                <w:left w:val="none" w:sz="0" w:space="0" w:color="auto"/>
                <w:bottom w:val="none" w:sz="0" w:space="0" w:color="auto"/>
                <w:right w:val="none" w:sz="0" w:space="0" w:color="auto"/>
              </w:divBdr>
            </w:div>
            <w:div w:id="1956860765">
              <w:marLeft w:val="0"/>
              <w:marRight w:val="0"/>
              <w:marTop w:val="0"/>
              <w:marBottom w:val="0"/>
              <w:divBdr>
                <w:top w:val="none" w:sz="0" w:space="0" w:color="auto"/>
                <w:left w:val="none" w:sz="0" w:space="0" w:color="auto"/>
                <w:bottom w:val="none" w:sz="0" w:space="0" w:color="auto"/>
                <w:right w:val="none" w:sz="0" w:space="0" w:color="auto"/>
              </w:divBdr>
            </w:div>
            <w:div w:id="8691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2764">
      <w:bodyDiv w:val="1"/>
      <w:marLeft w:val="0"/>
      <w:marRight w:val="0"/>
      <w:marTop w:val="0"/>
      <w:marBottom w:val="0"/>
      <w:divBdr>
        <w:top w:val="none" w:sz="0" w:space="0" w:color="auto"/>
        <w:left w:val="none" w:sz="0" w:space="0" w:color="auto"/>
        <w:bottom w:val="none" w:sz="0" w:space="0" w:color="auto"/>
        <w:right w:val="none" w:sz="0" w:space="0" w:color="auto"/>
      </w:divBdr>
      <w:divsChild>
        <w:div w:id="1805584703">
          <w:marLeft w:val="0"/>
          <w:marRight w:val="0"/>
          <w:marTop w:val="0"/>
          <w:marBottom w:val="0"/>
          <w:divBdr>
            <w:top w:val="none" w:sz="0" w:space="0" w:color="auto"/>
            <w:left w:val="none" w:sz="0" w:space="0" w:color="auto"/>
            <w:bottom w:val="none" w:sz="0" w:space="0" w:color="auto"/>
            <w:right w:val="none" w:sz="0" w:space="0" w:color="auto"/>
          </w:divBdr>
        </w:div>
        <w:div w:id="915355898">
          <w:marLeft w:val="0"/>
          <w:marRight w:val="0"/>
          <w:marTop w:val="0"/>
          <w:marBottom w:val="0"/>
          <w:divBdr>
            <w:top w:val="none" w:sz="0" w:space="0" w:color="auto"/>
            <w:left w:val="none" w:sz="0" w:space="0" w:color="auto"/>
            <w:bottom w:val="none" w:sz="0" w:space="0" w:color="auto"/>
            <w:right w:val="none" w:sz="0" w:space="0" w:color="auto"/>
          </w:divBdr>
        </w:div>
        <w:div w:id="1410154092">
          <w:marLeft w:val="0"/>
          <w:marRight w:val="0"/>
          <w:marTop w:val="0"/>
          <w:marBottom w:val="0"/>
          <w:divBdr>
            <w:top w:val="none" w:sz="0" w:space="0" w:color="auto"/>
            <w:left w:val="none" w:sz="0" w:space="0" w:color="auto"/>
            <w:bottom w:val="none" w:sz="0" w:space="0" w:color="auto"/>
            <w:right w:val="none" w:sz="0" w:space="0" w:color="auto"/>
          </w:divBdr>
          <w:divsChild>
            <w:div w:id="1422528710">
              <w:marLeft w:val="0"/>
              <w:marRight w:val="0"/>
              <w:marTop w:val="0"/>
              <w:marBottom w:val="0"/>
              <w:divBdr>
                <w:top w:val="none" w:sz="0" w:space="0" w:color="auto"/>
                <w:left w:val="none" w:sz="0" w:space="0" w:color="auto"/>
                <w:bottom w:val="none" w:sz="0" w:space="0" w:color="auto"/>
                <w:right w:val="none" w:sz="0" w:space="0" w:color="auto"/>
              </w:divBdr>
            </w:div>
            <w:div w:id="105396294">
              <w:marLeft w:val="0"/>
              <w:marRight w:val="0"/>
              <w:marTop w:val="0"/>
              <w:marBottom w:val="0"/>
              <w:divBdr>
                <w:top w:val="none" w:sz="0" w:space="0" w:color="auto"/>
                <w:left w:val="none" w:sz="0" w:space="0" w:color="auto"/>
                <w:bottom w:val="none" w:sz="0" w:space="0" w:color="auto"/>
                <w:right w:val="none" w:sz="0" w:space="0" w:color="auto"/>
              </w:divBdr>
            </w:div>
            <w:div w:id="1935436373">
              <w:marLeft w:val="0"/>
              <w:marRight w:val="0"/>
              <w:marTop w:val="0"/>
              <w:marBottom w:val="0"/>
              <w:divBdr>
                <w:top w:val="none" w:sz="0" w:space="0" w:color="auto"/>
                <w:left w:val="none" w:sz="0" w:space="0" w:color="auto"/>
                <w:bottom w:val="none" w:sz="0" w:space="0" w:color="auto"/>
                <w:right w:val="none" w:sz="0" w:space="0" w:color="auto"/>
              </w:divBdr>
            </w:div>
            <w:div w:id="1493444778">
              <w:marLeft w:val="0"/>
              <w:marRight w:val="0"/>
              <w:marTop w:val="0"/>
              <w:marBottom w:val="0"/>
              <w:divBdr>
                <w:top w:val="none" w:sz="0" w:space="0" w:color="auto"/>
                <w:left w:val="none" w:sz="0" w:space="0" w:color="auto"/>
                <w:bottom w:val="none" w:sz="0" w:space="0" w:color="auto"/>
                <w:right w:val="none" w:sz="0" w:space="0" w:color="auto"/>
              </w:divBdr>
            </w:div>
            <w:div w:id="543715316">
              <w:marLeft w:val="0"/>
              <w:marRight w:val="0"/>
              <w:marTop w:val="0"/>
              <w:marBottom w:val="0"/>
              <w:divBdr>
                <w:top w:val="none" w:sz="0" w:space="0" w:color="auto"/>
                <w:left w:val="none" w:sz="0" w:space="0" w:color="auto"/>
                <w:bottom w:val="none" w:sz="0" w:space="0" w:color="auto"/>
                <w:right w:val="none" w:sz="0" w:space="0" w:color="auto"/>
              </w:divBdr>
            </w:div>
            <w:div w:id="184635617">
              <w:marLeft w:val="0"/>
              <w:marRight w:val="0"/>
              <w:marTop w:val="0"/>
              <w:marBottom w:val="0"/>
              <w:divBdr>
                <w:top w:val="none" w:sz="0" w:space="0" w:color="auto"/>
                <w:left w:val="none" w:sz="0" w:space="0" w:color="auto"/>
                <w:bottom w:val="none" w:sz="0" w:space="0" w:color="auto"/>
                <w:right w:val="none" w:sz="0" w:space="0" w:color="auto"/>
              </w:divBdr>
            </w:div>
            <w:div w:id="1679966273">
              <w:marLeft w:val="0"/>
              <w:marRight w:val="0"/>
              <w:marTop w:val="0"/>
              <w:marBottom w:val="0"/>
              <w:divBdr>
                <w:top w:val="none" w:sz="0" w:space="0" w:color="auto"/>
                <w:left w:val="none" w:sz="0" w:space="0" w:color="auto"/>
                <w:bottom w:val="none" w:sz="0" w:space="0" w:color="auto"/>
                <w:right w:val="none" w:sz="0" w:space="0" w:color="auto"/>
              </w:divBdr>
            </w:div>
            <w:div w:id="373695313">
              <w:marLeft w:val="0"/>
              <w:marRight w:val="0"/>
              <w:marTop w:val="0"/>
              <w:marBottom w:val="0"/>
              <w:divBdr>
                <w:top w:val="none" w:sz="0" w:space="0" w:color="auto"/>
                <w:left w:val="none" w:sz="0" w:space="0" w:color="auto"/>
                <w:bottom w:val="none" w:sz="0" w:space="0" w:color="auto"/>
                <w:right w:val="none" w:sz="0" w:space="0" w:color="auto"/>
              </w:divBdr>
            </w:div>
            <w:div w:id="1790390012">
              <w:marLeft w:val="0"/>
              <w:marRight w:val="0"/>
              <w:marTop w:val="0"/>
              <w:marBottom w:val="0"/>
              <w:divBdr>
                <w:top w:val="none" w:sz="0" w:space="0" w:color="auto"/>
                <w:left w:val="none" w:sz="0" w:space="0" w:color="auto"/>
                <w:bottom w:val="none" w:sz="0" w:space="0" w:color="auto"/>
                <w:right w:val="none" w:sz="0" w:space="0" w:color="auto"/>
              </w:divBdr>
            </w:div>
            <w:div w:id="4549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21727">
      <w:bodyDiv w:val="1"/>
      <w:marLeft w:val="0"/>
      <w:marRight w:val="0"/>
      <w:marTop w:val="0"/>
      <w:marBottom w:val="0"/>
      <w:divBdr>
        <w:top w:val="none" w:sz="0" w:space="0" w:color="auto"/>
        <w:left w:val="none" w:sz="0" w:space="0" w:color="auto"/>
        <w:bottom w:val="none" w:sz="0" w:space="0" w:color="auto"/>
        <w:right w:val="none" w:sz="0" w:space="0" w:color="auto"/>
      </w:divBdr>
      <w:divsChild>
        <w:div w:id="348141047">
          <w:marLeft w:val="0"/>
          <w:marRight w:val="0"/>
          <w:marTop w:val="0"/>
          <w:marBottom w:val="0"/>
          <w:divBdr>
            <w:top w:val="none" w:sz="0" w:space="0" w:color="auto"/>
            <w:left w:val="none" w:sz="0" w:space="0" w:color="auto"/>
            <w:bottom w:val="none" w:sz="0" w:space="0" w:color="auto"/>
            <w:right w:val="none" w:sz="0" w:space="0" w:color="auto"/>
          </w:divBdr>
          <w:divsChild>
            <w:div w:id="1646011621">
              <w:marLeft w:val="0"/>
              <w:marRight w:val="0"/>
              <w:marTop w:val="0"/>
              <w:marBottom w:val="0"/>
              <w:divBdr>
                <w:top w:val="none" w:sz="0" w:space="0" w:color="auto"/>
                <w:left w:val="none" w:sz="0" w:space="0" w:color="auto"/>
                <w:bottom w:val="none" w:sz="0" w:space="0" w:color="auto"/>
                <w:right w:val="none" w:sz="0" w:space="0" w:color="auto"/>
              </w:divBdr>
              <w:divsChild>
                <w:div w:id="476994786">
                  <w:marLeft w:val="0"/>
                  <w:marRight w:val="0"/>
                  <w:marTop w:val="0"/>
                  <w:marBottom w:val="0"/>
                  <w:divBdr>
                    <w:top w:val="none" w:sz="0" w:space="0" w:color="auto"/>
                    <w:left w:val="none" w:sz="0" w:space="0" w:color="auto"/>
                    <w:bottom w:val="none" w:sz="0" w:space="0" w:color="auto"/>
                    <w:right w:val="none" w:sz="0" w:space="0" w:color="auto"/>
                  </w:divBdr>
                </w:div>
              </w:divsChild>
            </w:div>
            <w:div w:id="1067995881">
              <w:marLeft w:val="0"/>
              <w:marRight w:val="0"/>
              <w:marTop w:val="0"/>
              <w:marBottom w:val="0"/>
              <w:divBdr>
                <w:top w:val="none" w:sz="0" w:space="0" w:color="auto"/>
                <w:left w:val="none" w:sz="0" w:space="0" w:color="auto"/>
                <w:bottom w:val="none" w:sz="0" w:space="0" w:color="auto"/>
                <w:right w:val="none" w:sz="0" w:space="0" w:color="auto"/>
              </w:divBdr>
              <w:divsChild>
                <w:div w:id="65610693">
                  <w:marLeft w:val="0"/>
                  <w:marRight w:val="0"/>
                  <w:marTop w:val="0"/>
                  <w:marBottom w:val="0"/>
                  <w:divBdr>
                    <w:top w:val="none" w:sz="0" w:space="0" w:color="auto"/>
                    <w:left w:val="none" w:sz="0" w:space="0" w:color="auto"/>
                    <w:bottom w:val="none" w:sz="0" w:space="0" w:color="auto"/>
                    <w:right w:val="none" w:sz="0" w:space="0" w:color="auto"/>
                  </w:divBdr>
                </w:div>
              </w:divsChild>
            </w:div>
            <w:div w:id="782043710">
              <w:marLeft w:val="0"/>
              <w:marRight w:val="0"/>
              <w:marTop w:val="0"/>
              <w:marBottom w:val="0"/>
              <w:divBdr>
                <w:top w:val="none" w:sz="0" w:space="0" w:color="auto"/>
                <w:left w:val="none" w:sz="0" w:space="0" w:color="auto"/>
                <w:bottom w:val="none" w:sz="0" w:space="0" w:color="auto"/>
                <w:right w:val="none" w:sz="0" w:space="0" w:color="auto"/>
              </w:divBdr>
              <w:divsChild>
                <w:div w:id="1320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8533">
          <w:marLeft w:val="0"/>
          <w:marRight w:val="0"/>
          <w:marTop w:val="0"/>
          <w:marBottom w:val="0"/>
          <w:divBdr>
            <w:top w:val="none" w:sz="0" w:space="0" w:color="auto"/>
            <w:left w:val="none" w:sz="0" w:space="0" w:color="auto"/>
            <w:bottom w:val="none" w:sz="0" w:space="0" w:color="auto"/>
            <w:right w:val="none" w:sz="0" w:space="0" w:color="auto"/>
          </w:divBdr>
        </w:div>
        <w:div w:id="549079108">
          <w:marLeft w:val="0"/>
          <w:marRight w:val="0"/>
          <w:marTop w:val="0"/>
          <w:marBottom w:val="0"/>
          <w:divBdr>
            <w:top w:val="none" w:sz="0" w:space="0" w:color="auto"/>
            <w:left w:val="none" w:sz="0" w:space="0" w:color="auto"/>
            <w:bottom w:val="none" w:sz="0" w:space="0" w:color="auto"/>
            <w:right w:val="none" w:sz="0" w:space="0" w:color="auto"/>
          </w:divBdr>
          <w:divsChild>
            <w:div w:id="964890763">
              <w:marLeft w:val="0"/>
              <w:marRight w:val="0"/>
              <w:marTop w:val="0"/>
              <w:marBottom w:val="0"/>
              <w:divBdr>
                <w:top w:val="none" w:sz="0" w:space="0" w:color="auto"/>
                <w:left w:val="none" w:sz="0" w:space="0" w:color="auto"/>
                <w:bottom w:val="none" w:sz="0" w:space="0" w:color="auto"/>
                <w:right w:val="none" w:sz="0" w:space="0" w:color="auto"/>
              </w:divBdr>
            </w:div>
            <w:div w:id="630088770">
              <w:marLeft w:val="0"/>
              <w:marRight w:val="0"/>
              <w:marTop w:val="0"/>
              <w:marBottom w:val="0"/>
              <w:divBdr>
                <w:top w:val="none" w:sz="0" w:space="0" w:color="auto"/>
                <w:left w:val="none" w:sz="0" w:space="0" w:color="auto"/>
                <w:bottom w:val="none" w:sz="0" w:space="0" w:color="auto"/>
                <w:right w:val="none" w:sz="0" w:space="0" w:color="auto"/>
              </w:divBdr>
            </w:div>
            <w:div w:id="1562129633">
              <w:marLeft w:val="0"/>
              <w:marRight w:val="0"/>
              <w:marTop w:val="0"/>
              <w:marBottom w:val="0"/>
              <w:divBdr>
                <w:top w:val="none" w:sz="0" w:space="0" w:color="auto"/>
                <w:left w:val="none" w:sz="0" w:space="0" w:color="auto"/>
                <w:bottom w:val="none" w:sz="0" w:space="0" w:color="auto"/>
                <w:right w:val="none" w:sz="0" w:space="0" w:color="auto"/>
              </w:divBdr>
            </w:div>
            <w:div w:id="799957189">
              <w:marLeft w:val="0"/>
              <w:marRight w:val="0"/>
              <w:marTop w:val="0"/>
              <w:marBottom w:val="0"/>
              <w:divBdr>
                <w:top w:val="none" w:sz="0" w:space="0" w:color="auto"/>
                <w:left w:val="none" w:sz="0" w:space="0" w:color="auto"/>
                <w:bottom w:val="none" w:sz="0" w:space="0" w:color="auto"/>
                <w:right w:val="none" w:sz="0" w:space="0" w:color="auto"/>
              </w:divBdr>
            </w:div>
            <w:div w:id="416905777">
              <w:marLeft w:val="0"/>
              <w:marRight w:val="0"/>
              <w:marTop w:val="0"/>
              <w:marBottom w:val="0"/>
              <w:divBdr>
                <w:top w:val="none" w:sz="0" w:space="0" w:color="auto"/>
                <w:left w:val="none" w:sz="0" w:space="0" w:color="auto"/>
                <w:bottom w:val="none" w:sz="0" w:space="0" w:color="auto"/>
                <w:right w:val="none" w:sz="0" w:space="0" w:color="auto"/>
              </w:divBdr>
            </w:div>
            <w:div w:id="1538199669">
              <w:marLeft w:val="0"/>
              <w:marRight w:val="0"/>
              <w:marTop w:val="0"/>
              <w:marBottom w:val="0"/>
              <w:divBdr>
                <w:top w:val="none" w:sz="0" w:space="0" w:color="auto"/>
                <w:left w:val="none" w:sz="0" w:space="0" w:color="auto"/>
                <w:bottom w:val="none" w:sz="0" w:space="0" w:color="auto"/>
                <w:right w:val="none" w:sz="0" w:space="0" w:color="auto"/>
              </w:divBdr>
            </w:div>
            <w:div w:id="1795905917">
              <w:marLeft w:val="0"/>
              <w:marRight w:val="0"/>
              <w:marTop w:val="0"/>
              <w:marBottom w:val="0"/>
              <w:divBdr>
                <w:top w:val="none" w:sz="0" w:space="0" w:color="auto"/>
                <w:left w:val="none" w:sz="0" w:space="0" w:color="auto"/>
                <w:bottom w:val="none" w:sz="0" w:space="0" w:color="auto"/>
                <w:right w:val="none" w:sz="0" w:space="0" w:color="auto"/>
              </w:divBdr>
            </w:div>
            <w:div w:id="952633493">
              <w:marLeft w:val="0"/>
              <w:marRight w:val="0"/>
              <w:marTop w:val="0"/>
              <w:marBottom w:val="0"/>
              <w:divBdr>
                <w:top w:val="none" w:sz="0" w:space="0" w:color="auto"/>
                <w:left w:val="none" w:sz="0" w:space="0" w:color="auto"/>
                <w:bottom w:val="none" w:sz="0" w:space="0" w:color="auto"/>
                <w:right w:val="none" w:sz="0" w:space="0" w:color="auto"/>
              </w:divBdr>
            </w:div>
            <w:div w:id="1250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ten-my.sharepoint.com/personal/abdul_pasha_thomsonreuters_com/Documents/Microsoft%20Teams%20Chat%20Files/2024%20_Planning.pptx?web=1" TargetMode="External"/><Relationship Id="rId299" Type="http://schemas.openxmlformats.org/officeDocument/2006/relationships/hyperlink" Target="https://trten.sharepoint.com/Shared%20Documents/TR%20Corporate%20Deck_FINAL_June30_2023.pdf?web=1" TargetMode="External"/><Relationship Id="rId21" Type="http://schemas.openxmlformats.org/officeDocument/2006/relationships/hyperlink" Target="https://investors.thomsonreuters.com/static-files/47412ad2-d720-4a02-99c7-cbd7c425c16d" TargetMode="External"/><Relationship Id="rId63" Type="http://schemas.openxmlformats.org/officeDocument/2006/relationships/hyperlink" Target="https://www.hrgrapevine.com/us/content/article/2024-11-15-you-will-be-left-behind-thomson-reuters-cpo-says-staff-must-upskill-in-ai-but-will-guide-them-through-the-journey" TargetMode="External"/><Relationship Id="rId159" Type="http://schemas.openxmlformats.org/officeDocument/2006/relationships/hyperlink" Target="https://trten.sharepoint.com/Shared%20Documents/TR%20Corporate%20Deck_FINAL_June30_2023.pdf?web=1" TargetMode="External"/><Relationship Id="rId324" Type="http://schemas.openxmlformats.org/officeDocument/2006/relationships/hyperlink" Target="https://trten.sharepoint.com/sites/intr-cybercom/Shared%20Documents/SecurityProductCollateral/thomson-reuters-westlaw-anz-security-summary.pdf?web=1" TargetMode="External"/><Relationship Id="rId366" Type="http://schemas.openxmlformats.org/officeDocument/2006/relationships/fontTable" Target="fontTable.xml"/><Relationship Id="rId170" Type="http://schemas.openxmlformats.org/officeDocument/2006/relationships/hyperlink" Target="https://trten.sharepoint.com/Shared%20Documents/TR%20Corporate%20Deck_FINAL_June30_2023.pdf?web=1" TargetMode="External"/><Relationship Id="rId226" Type="http://schemas.openxmlformats.org/officeDocument/2006/relationships/hyperlink" Target="https://investors.thomsonreuters.com/static-files/47412ad2-d720-4a02-99c7-cbd7c425c16d" TargetMode="External"/><Relationship Id="rId268" Type="http://schemas.openxmlformats.org/officeDocument/2006/relationships/hyperlink" Target="https://investors.thomsonreuters.com/static-files/47412ad2-d720-4a02-99c7-cbd7c425c16d" TargetMode="External"/><Relationship Id="rId32" Type="http://schemas.openxmlformats.org/officeDocument/2006/relationships/hyperlink" Target="https://investors.thomsonreuters.com/static-files/47412ad2-d720-4a02-99c7-cbd7c425c16d" TargetMode="External"/><Relationship Id="rId74" Type="http://schemas.openxmlformats.org/officeDocument/2006/relationships/hyperlink" Target="https://investors.thomsonreuters.com/static-files/47412ad2-d720-4a02-99c7-cbd7c425c16d" TargetMode="External"/><Relationship Id="rId128" Type="http://schemas.openxmlformats.org/officeDocument/2006/relationships/hyperlink" Target="https://www.prnewswire.com/news-releases/thomson-reuters-unveils-generative-ai-strategy-designed-to-transform-the-future-of-professionals-301973542.html" TargetMode="External"/><Relationship Id="rId335" Type="http://schemas.openxmlformats.org/officeDocument/2006/relationships/hyperlink" Target="https://www.prnewswire.com/news-releases/thomson-reuters-unveils-generative-ai-strategy-designed-to-transform-the-future-of-professionals-301973542.html" TargetMode="External"/><Relationship Id="rId5" Type="http://schemas.openxmlformats.org/officeDocument/2006/relationships/styles" Target="styles.xml"/><Relationship Id="rId181" Type="http://schemas.openxmlformats.org/officeDocument/2006/relationships/hyperlink" Target="https://trten.sharepoint.com/sites/intr-labs/SitePages/Westlaw_Precision_Announcement_Sep_29_2022.aspx?web=1" TargetMode="External"/><Relationship Id="rId237" Type="http://schemas.openxmlformats.org/officeDocument/2006/relationships/hyperlink" Target="https://www.hrgrapevine.com/us/content/article/2024-11-15-you-will-be-left-behind-thomson-reuters-cpo-says-staff-must-upskill-in-ai-but-will-guide-them-through-the-journey" TargetMode="External"/><Relationship Id="rId279" Type="http://schemas.openxmlformats.org/officeDocument/2006/relationships/hyperlink" Target="https://investors.thomsonreuters.com/static-files/47412ad2-d720-4a02-99c7-cbd7c425c16d" TargetMode="External"/><Relationship Id="rId43" Type="http://schemas.openxmlformats.org/officeDocument/2006/relationships/hyperlink" Target="https://investors.thomsonreuters.com/static-files/47412ad2-d720-4a02-99c7-cbd7c425c16d" TargetMode="External"/><Relationship Id="rId139"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290" Type="http://schemas.openxmlformats.org/officeDocument/2006/relationships/hyperlink" Target="https://www.thomsonreuters.com/en-us/posts/innovation/thomson-reuters-labs-innovation-focused-on-delivering-smarter-more-valuable-solutions-for-professionals/" TargetMode="External"/><Relationship Id="rId304" Type="http://schemas.openxmlformats.org/officeDocument/2006/relationships/hyperlink" Target="https://trten.sharepoint.com/Shared%20Documents/TR%20Corporate%20Deck_FINAL_June30_2023.pdf?web=1" TargetMode="External"/><Relationship Id="rId346" Type="http://schemas.openxmlformats.org/officeDocument/2006/relationships/hyperlink" Target="https://trten.sharepoint.com/sites/intr-generative-ai-platform/Shared%20Documents/Thomson%20Reuters%20Generative%20AI%20Platform.pptx?web=1" TargetMode="External"/><Relationship Id="rId85" Type="http://schemas.openxmlformats.org/officeDocument/2006/relationships/hyperlink" Target="https://trten.sharepoint.com/sites/intr-shared-service-center-global-operations/SitePages/LEAN-SIX-SIGMA-CERTIFICATION-EVENT.aspx?web=1" TargetMode="External"/><Relationship Id="rId150" Type="http://schemas.openxmlformats.org/officeDocument/2006/relationships/hyperlink" Target="https://trten.sharepoint.com/sites/GlobalServices-DigitalCapability/Shared%20Documents/Thomson%20Reuters%20RFP%20Document%20V4.docx?web=1" TargetMode="External"/><Relationship Id="rId192" Type="http://schemas.openxmlformats.org/officeDocument/2006/relationships/hyperlink" Target="https://www.thomsonreuters.com/en-us/posts/our-purpose/year-in-review-celebrating-the-best-of-working-at-thomson-reuters-in-2023/" TargetMode="External"/><Relationship Id="rId206" Type="http://schemas.openxmlformats.org/officeDocument/2006/relationships/hyperlink" Target="https://www.thomsonreuters.com/en-us/posts/innovation/thomson-reuters-labs-innovation-focused-on-delivering-smarter-more-valuable-solutions-for-professionals/" TargetMode="External"/><Relationship Id="rId248" Type="http://schemas.openxmlformats.org/officeDocument/2006/relationships/hyperlink" Target="https://www.hrgrapevine.com/us/content/article/2024-11-15-you-will-be-left-behind-thomson-reuters-cpo-says-staff-must-upskill-in-ai-but-will-guide-them-through-the-journey" TargetMode="External"/><Relationship Id="rId12" Type="http://schemas.openxmlformats.org/officeDocument/2006/relationships/hyperlink" Target="https://investors.thomsonreuters.com/static-files/47412ad2-d720-4a02-99c7-cbd7c425c16d" TargetMode="External"/><Relationship Id="rId108" Type="http://schemas.openxmlformats.org/officeDocument/2006/relationships/hyperlink" Target="https://trten.sharepoint.com/sites/intr-enterprise-architecture/SitePages/TR-Enterprise-Operating-Processes.aspx?web=1" TargetMode="External"/><Relationship Id="rId315" Type="http://schemas.openxmlformats.org/officeDocument/2006/relationships/hyperlink" Target="https://trten-my.sharepoint.com/personal/nick_hern_thomsonreuters_com/VivaEngage/Attachments/Storyline%201/Thomson%20Reuters%20Competitive%20Intelligence%20Briefing_.pdf?web=1" TargetMode="External"/><Relationship Id="rId357" Type="http://schemas.openxmlformats.org/officeDocument/2006/relationships/hyperlink" Target="https://trten.sharepoint.com/sites/intr-ourcontent/Shared%20Documents/1%20-%20OurContent%20Main/All-Employee%20Meetings/Q2%202023%20Content%20Ops%20Townhall%20June%206,%202023.pdf?web=1" TargetMode="External"/><Relationship Id="rId54" Type="http://schemas.openxmlformats.org/officeDocument/2006/relationships/hyperlink" Target="https://ir.thomsonreuters.com/static-files/e9dd3d54-b4ad-4393-8c3b-7c2a84cd65bb" TargetMode="External"/><Relationship Id="rId96" Type="http://schemas.openxmlformats.org/officeDocument/2006/relationships/hyperlink" Target="https://ir.thomsonreuters.com/index.php/static-files/e9dd3d54-b4ad-4393-8c3b-7c2a84cd65bb" TargetMode="External"/><Relationship Id="rId161" Type="http://schemas.openxmlformats.org/officeDocument/2006/relationships/hyperlink" Target="https://trten.sharepoint.com/sites/intr-legal-professionals/SitePages/news-nwl_09142022.aspx?web=1" TargetMode="External"/><Relationship Id="rId217" Type="http://schemas.openxmlformats.org/officeDocument/2006/relationships/hyperlink" Target="https://www.cpapracticeadvisor.com/2025/02/10/thomson-reuters-announces-new-150m-corporate-venture-capital-fund/155782/" TargetMode="External"/><Relationship Id="rId259" Type="http://schemas.openxmlformats.org/officeDocument/2006/relationships/hyperlink" Target="https://www.hrgrapevine.com/us/content/article/2024-11-15-you-will-be-left-behind-thomson-reuters-cpo-says-staff-must-upskill-in-ai-but-will-guide-them-through-the-journey" TargetMode="External"/><Relationship Id="rId23" Type="http://schemas.openxmlformats.org/officeDocument/2006/relationships/hyperlink" Target="https://investors.thomsonreuters.com/static-files/47412ad2-d720-4a02-99c7-cbd7c425c16d" TargetMode="External"/><Relationship Id="rId119" Type="http://schemas.openxmlformats.org/officeDocument/2006/relationships/hyperlink" Target="https://trten-my.sharepoint.com/personal/abdul_pasha_thomsonreuters_com/Documents/Microsoft%20Teams%20Chat%20Files/2024%20_Planning.pptx?web=1" TargetMode="External"/><Relationship Id="rId270" Type="http://schemas.openxmlformats.org/officeDocument/2006/relationships/hyperlink" Target="https://www.hrgrapevine.com/us/content/article/2024-11-15-you-will-be-left-behind-thomson-reuters-cpo-says-staff-must-upskill-in-ai-but-will-guide-them-through-the-journey" TargetMode="External"/><Relationship Id="rId326" Type="http://schemas.openxmlformats.org/officeDocument/2006/relationships/hyperlink" Target="https://trten-my.sharepoint.com/personal/richie_samson_thomsonreuters_com/Documents/Microsoft%20Teams%20Chat%20Files/1-General%20FAQ%20v1.0.docx?web=1" TargetMode="External"/><Relationship Id="rId65" Type="http://schemas.openxmlformats.org/officeDocument/2006/relationships/hyperlink" Target="https://www.hrgrapevine.com/us/content/article/2024-11-15-you-will-be-left-behind-thomson-reuters-cpo-says-staff-must-upskill-in-ai-but-will-guide-them-through-the-journey" TargetMode="External"/><Relationship Id="rId130" Type="http://schemas.openxmlformats.org/officeDocument/2006/relationships/hyperlink" Target="https://www.prnewswire.com/news-releases/thomson-reuters-unveils-generative-ai-strategy-designed-to-transform-the-future-of-professionals-301973542.html" TargetMode="External"/><Relationship Id="rId172" Type="http://schemas.openxmlformats.org/officeDocument/2006/relationships/hyperlink" Target="https://trten.sharepoint.com/sites/intr-ourcontent/Shared%20Documents/1%20-%20OurContent%20Main/Meetings%20and%20Q&amp;A/Global%20Content%20Townhalls/Q1%202023%20Content%20Ops%20Townhall_March%202,%202023.pdf?web=1" TargetMode="External"/><Relationship Id="rId228" Type="http://schemas.openxmlformats.org/officeDocument/2006/relationships/hyperlink" Target="https://www.hrgrapevine.com/us/content/article/2024-11-15-you-will-be-left-behind-thomson-reuters-cpo-says-staff-must-upskill-in-ai-but-will-guide-them-through-the-journey" TargetMode="External"/><Relationship Id="rId281" Type="http://schemas.openxmlformats.org/officeDocument/2006/relationships/hyperlink" Target="https://investors.thomsonreuters.com/static-files/47412ad2-d720-4a02-99c7-cbd7c425c16d" TargetMode="External"/><Relationship Id="rId337" Type="http://schemas.openxmlformats.org/officeDocument/2006/relationships/hyperlink" Target="https://trten.sharepoint.com/sites/intr-cybercom/Shared%20Documents/SecurityProductCollateral/thomson-reuters-security-principles.pdf?web=1" TargetMode="External"/><Relationship Id="rId34" Type="http://schemas.openxmlformats.org/officeDocument/2006/relationships/hyperlink" Target="https://investors.thomsonreuters.com/static-files/47412ad2-d720-4a02-99c7-cbd7c425c16d" TargetMode="External"/><Relationship Id="rId76" Type="http://schemas.openxmlformats.org/officeDocument/2006/relationships/hyperlink" Target="https://www.hrgrapevine.com/us/content/article/2024-11-15-you-will-be-left-behind-thomson-reuters-cpo-says-staff-must-upskill-in-ai-but-will-guide-them-through-the-journey" TargetMode="External"/><Relationship Id="rId141" Type="http://schemas.openxmlformats.org/officeDocument/2006/relationships/hyperlink" Target="https://trten.sharepoint.com/sites/AnalyticsTR-06-GovernanceandReporting/Shared%20Documents/05%20-%20EAC%20and%20Governance/Executive%20Updates/2023/All%20Hands.v1.pptx?web=1" TargetMode="External"/><Relationship Id="rId7" Type="http://schemas.openxmlformats.org/officeDocument/2006/relationships/webSettings" Target="webSettings.xml"/><Relationship Id="rId183" Type="http://schemas.openxmlformats.org/officeDocument/2006/relationships/hyperlink" Target="https://trten.sharepoint.com/sites/intr-news/SitePages/news-Introducing-Westlaw-Precision.aspx?web=1" TargetMode="External"/><Relationship Id="rId239" Type="http://schemas.openxmlformats.org/officeDocument/2006/relationships/hyperlink" Target="https://www.hrgrapevine.com/us/content/article/2024-11-15-you-will-be-left-behind-thomson-reuters-cpo-says-staff-must-upskill-in-ai-but-will-guide-them-through-the-journey" TargetMode="External"/><Relationship Id="rId250" Type="http://schemas.openxmlformats.org/officeDocument/2006/relationships/hyperlink" Target="https://www.hrgrapevine.com/us/content/article/2024-11-15-you-will-be-left-behind-thomson-reuters-cpo-says-staff-must-upskill-in-ai-but-will-guide-them-through-the-journey" TargetMode="External"/><Relationship Id="rId292" Type="http://schemas.openxmlformats.org/officeDocument/2006/relationships/hyperlink" Target="https://trten.sharepoint.com/sites/intr-all-things-ai/Shared%20Documents/AI%20Guidance%20materials/Using%20Generative%20AI%20at%20Thomson%20Reuters.pdf?web=1" TargetMode="External"/><Relationship Id="rId306" Type="http://schemas.openxmlformats.org/officeDocument/2006/relationships/hyperlink" Target="https://trten-my.sharepoint.com/personal/richie_samson_thomsonreuters_com/Documents/Microsoft%20Teams%20Chat%20Files/1-General%20FAQ%20v1.0.docx?web=1" TargetMode="External"/><Relationship Id="rId45" Type="http://schemas.openxmlformats.org/officeDocument/2006/relationships/hyperlink" Target="https://investors.thomsonreuters.com/static-files/47412ad2-d720-4a02-99c7-cbd7c425c16d" TargetMode="External"/><Relationship Id="rId87" Type="http://schemas.openxmlformats.org/officeDocument/2006/relationships/hyperlink" Target="https://ir.thomsonreuters.com/index.php/static-files/e9dd3d54-b4ad-4393-8c3b-7c2a84cd65bb" TargetMode="External"/><Relationship Id="rId110" Type="http://schemas.openxmlformats.org/officeDocument/2006/relationships/hyperlink" Target="https://trten.sharepoint.com/sites/intr-manila/Shared%20Documents/SITE/2025/Q2%20Townhall/2025%20Q2%20Town%20Hall%20Presentation%20July%202,%202025.pdf?web=1" TargetMode="External"/><Relationship Id="rId348" Type="http://schemas.openxmlformats.org/officeDocument/2006/relationships/hyperlink" Target="https://trten.sharepoint.com/sites/intr-ourcontent/Shared%20Documents/1%20-%20OurContent%20Main/All-Employee%20Meetings/Q2%202023%20Content%20Ops%20Townhall%20June%206,%202023.pdf?web=1" TargetMode="External"/><Relationship Id="rId152" Type="http://schemas.openxmlformats.org/officeDocument/2006/relationships/hyperlink" Target="https://trten.sharepoint.com/sites/intr-enterprise-architecture/SitePages/Sustainability--Microsoft-Services.aspx?web=1" TargetMode="External"/><Relationship Id="rId194" Type="http://schemas.openxmlformats.org/officeDocument/2006/relationships/hyperlink" Target="https://www.cpapracticeadvisor.com/2025/02/10/thomson-reuters-announces-new-150m-corporate-venture-capital-fund/155782/" TargetMode="External"/><Relationship Id="rId208" Type="http://schemas.openxmlformats.org/officeDocument/2006/relationships/hyperlink" Target="https://www.thomsonreuters.com/en-us/posts/our-purpose/year-in-review-celebrating-the-best-of-working-at-thomson-reuters-in-2023/" TargetMode="External"/><Relationship Id="rId261" Type="http://schemas.openxmlformats.org/officeDocument/2006/relationships/hyperlink" Target="https://investors.thomsonreuters.com/static-files/47412ad2-d720-4a02-99c7-cbd7c425c16d" TargetMode="External"/><Relationship Id="rId14" Type="http://schemas.openxmlformats.org/officeDocument/2006/relationships/hyperlink" Target="https://investors.thomsonreuters.com/static-files/47412ad2-d720-4a02-99c7-cbd7c425c16d" TargetMode="External"/><Relationship Id="rId56" Type="http://schemas.openxmlformats.org/officeDocument/2006/relationships/hyperlink" Target="https://www.hrgrapevine.com/us/content/article/2024-11-15-you-will-be-left-behind-thomson-reuters-cpo-says-staff-must-upskill-in-ai-but-will-guide-them-through-the-journey" TargetMode="External"/><Relationship Id="rId317" Type="http://schemas.openxmlformats.org/officeDocument/2006/relationships/hyperlink" Target="https://trten-my.sharepoint.com/personal/nick_hern_thomsonreuters_com/VivaEngage/Attachments/Storyline%201/Thomson%20Reuters%20Competitive%20Intelligence%20Briefing_.pdf?web=1" TargetMode="External"/><Relationship Id="rId359" Type="http://schemas.openxmlformats.org/officeDocument/2006/relationships/hyperlink" Target="https://trten.sharepoint.com/sites/ProductDocumentHub/Shared%20Documents/PRDs/Accounting,%20Tax%20&amp;%20Practice/SurePrep/Active/Andersen%201040%20Workflow%20Summary%20and%20Recommendations%20Recommendations.docx?web=1" TargetMode="External"/><Relationship Id="rId98" Type="http://schemas.openxmlformats.org/officeDocument/2006/relationships/hyperlink" Target="https://ir.thomsonreuters.com/index.php/static-files/e9dd3d54-b4ad-4393-8c3b-7c2a84cd65bb" TargetMode="External"/><Relationship Id="rId121" Type="http://schemas.openxmlformats.org/officeDocument/2006/relationships/hyperlink" Target="https://www.prnewswire.com/news-releases/thomson-reuters-unveils-generative-ai-strategy-designed-to-transform-the-future-of-professionals-301973542.html" TargetMode="External"/><Relationship Id="rId163" Type="http://schemas.openxmlformats.org/officeDocument/2006/relationships/hyperlink" Target="https://trten.sharepoint.com/Shared%20Documents/TR%20Corporate%20Deck_FINAL_June30_2023.pdf?web=1" TargetMode="External"/><Relationship Id="rId219" Type="http://schemas.openxmlformats.org/officeDocument/2006/relationships/hyperlink" Target="https://www.cpapracticeadvisor.com/2025/02/10/thomson-reuters-announces-new-150m-corporate-venture-capital-fund/155782/" TargetMode="External"/><Relationship Id="rId230" Type="http://schemas.openxmlformats.org/officeDocument/2006/relationships/hyperlink" Target="https://www.hrgrapevine.com/us/content/article/2024-11-15-you-will-be-left-behind-thomson-reuters-cpo-says-staff-must-upskill-in-ai-but-will-guide-them-through-the-journey" TargetMode="External"/><Relationship Id="rId25" Type="http://schemas.openxmlformats.org/officeDocument/2006/relationships/hyperlink" Target="https://investors.thomsonreuters.com/static-files/47412ad2-d720-4a02-99c7-cbd7c425c16d" TargetMode="External"/><Relationship Id="rId67" Type="http://schemas.openxmlformats.org/officeDocument/2006/relationships/hyperlink" Target="https://www.hrgrapevine.com/us/content/article/2024-11-15-you-will-be-left-behind-thomson-reuters-cpo-says-staff-must-upskill-in-ai-but-will-guide-them-through-the-journey" TargetMode="External"/><Relationship Id="rId272" Type="http://schemas.openxmlformats.org/officeDocument/2006/relationships/hyperlink" Target="https://investors.thomsonreuters.com/static-files/47412ad2-d720-4a02-99c7-cbd7c425c16d" TargetMode="External"/><Relationship Id="rId328" Type="http://schemas.openxmlformats.org/officeDocument/2006/relationships/hyperlink" Target="https://trten.sharepoint.com/sites/intr-practical-new-hire-and-onboarding-guidance/Shared%20Documents/FromTheHub-3290713/Thomson%20Reuters%20Company%20Overview%202021.pdf?web=1" TargetMode="External"/><Relationship Id="rId132" Type="http://schemas.openxmlformats.org/officeDocument/2006/relationships/hyperlink" Target="https://www.prnewswire.com/news-releases/thomson-reuters-unveils-generative-ai-strategy-designed-to-transform-the-future-of-professionals-301973542.html" TargetMode="External"/><Relationship Id="rId174" Type="http://schemas.openxmlformats.org/officeDocument/2006/relationships/hyperlink" Target="https://trten.sharepoint.com/Shared%20Documents/TR%20Corporate%20Deck_FINAL_June30_2023.pdf?web=1" TargetMode="External"/><Relationship Id="rId220" Type="http://schemas.openxmlformats.org/officeDocument/2006/relationships/hyperlink" Target="https://www.cpapracticeadvisor.com/2025/02/10/thomson-reuters-announces-new-150m-corporate-venture-capital-fund/155782/" TargetMode="External"/><Relationship Id="rId241" Type="http://schemas.openxmlformats.org/officeDocument/2006/relationships/hyperlink" Target="https://www.hrgrapevine.com/us/content/article/2024-11-15-you-will-be-left-behind-thomson-reuters-cpo-says-staff-must-upskill-in-ai-but-will-guide-them-through-the-journey" TargetMode="External"/><Relationship Id="rId15" Type="http://schemas.openxmlformats.org/officeDocument/2006/relationships/hyperlink" Target="https://investors.thomsonreuters.com/static-files/47412ad2-d720-4a02-99c7-cbd7c425c16d" TargetMode="External"/><Relationship Id="rId36" Type="http://schemas.openxmlformats.org/officeDocument/2006/relationships/hyperlink" Target="https://ir.thomsonreuters.com/static-files/e9dd3d54-b4ad-4393-8c3b-7c2a84cd65bb" TargetMode="External"/><Relationship Id="rId57" Type="http://schemas.openxmlformats.org/officeDocument/2006/relationships/hyperlink" Target="https://www.hrgrapevine.com/us/content/article/2024-11-15-you-will-be-left-behind-thomson-reuters-cpo-says-staff-must-upskill-in-ai-but-will-guide-them-through-the-journey" TargetMode="External"/><Relationship Id="rId262" Type="http://schemas.openxmlformats.org/officeDocument/2006/relationships/hyperlink" Target="https://investors.thomsonreuters.com/static-files/47412ad2-d720-4a02-99c7-cbd7c425c16d" TargetMode="External"/><Relationship Id="rId283" Type="http://schemas.openxmlformats.org/officeDocument/2006/relationships/hyperlink" Target="https://www.hrgrapevine.com/us/content/article/2024-11-15-you-will-be-left-behind-thomson-reuters-cpo-says-staff-must-upskill-in-ai-but-will-guide-them-through-the-journey" TargetMode="External"/><Relationship Id="rId318" Type="http://schemas.openxmlformats.org/officeDocument/2006/relationships/hyperlink" Target="https://trten.sharepoint.com/sites/intr-product/Shared%20Documents/FAQ%20for%20Thomson%20Reuters%20and%20Microsoft%20Announcement%20%281%29.pdf?web=1" TargetMode="External"/><Relationship Id="rId339"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78" Type="http://schemas.openxmlformats.org/officeDocument/2006/relationships/hyperlink" Target="https://ir.thomsonreuters.com/static-files/e9dd3d54-b4ad-4393-8c3b-7c2a84cd65bb" TargetMode="External"/><Relationship Id="rId99" Type="http://schemas.openxmlformats.org/officeDocument/2006/relationships/hyperlink" Target="https://trten.sharepoint.com/sites/intr-shared-service-center-global-operations/SitePages/LEAN-SIX-SIGMA.aspx?web=1" TargetMode="External"/><Relationship Id="rId101" Type="http://schemas.openxmlformats.org/officeDocument/2006/relationships/hyperlink" Target="https://trten.sharepoint.com/sites/intr-shared-service-center-global-operations/SitePages/LEAN-SIX-SIGMA-CERTIFICATION-EVENT.aspx?web=1" TargetMode="External"/><Relationship Id="rId122" Type="http://schemas.openxmlformats.org/officeDocument/2006/relationships/hyperlink" Target="https://www.prnewswire.com/news-releases/thomson-reuters-unveils-generative-ai-strategy-designed-to-transform-the-future-of-professionals-301973542.html" TargetMode="External"/><Relationship Id="rId143" Type="http://schemas.openxmlformats.org/officeDocument/2006/relationships/hyperlink" Target="https://trten.sharepoint.com/sites/intr-manila/Shared%20Documents/SITE/2025/Q2%20Townhall/2025%20Q2%20Town%20Hall%20Presentation%20July%202,%202025.pdf?web=1" TargetMode="External"/><Relationship Id="rId164" Type="http://schemas.openxmlformats.org/officeDocument/2006/relationships/hyperlink" Target="https://trten.sharepoint.com/Shared%20Documents/TR%20Corporate%20Deck_FINAL_June30_2023.pdf?web=1" TargetMode="External"/><Relationship Id="rId185" Type="http://schemas.openxmlformats.org/officeDocument/2006/relationships/hyperlink" Target="https://trten.sharepoint.com/sites/intr-asia-and-emerging-markets/Shared%20Documents/TR%20Corporate%20Deck_2025.pptx?web=1" TargetMode="External"/><Relationship Id="rId350" Type="http://schemas.openxmlformats.org/officeDocument/2006/relationships/hyperlink" Target="https://trten.sharepoint.com/sites/intr-generative-ai-platform/Shared%20Documents/Thomson%20Reuters%20Generative%20AI%20Platform.pptx?web=1" TargetMode="External"/><Relationship Id="rId9" Type="http://schemas.openxmlformats.org/officeDocument/2006/relationships/hyperlink" Target="https://investors.thomsonreuters.com/static-files/47412ad2-d720-4a02-99c7-cbd7c425c16d" TargetMode="External"/><Relationship Id="rId210" Type="http://schemas.openxmlformats.org/officeDocument/2006/relationships/hyperlink" Target="https://www.thomsonreuters.com/en-us/posts/innovation/thomson-reuters-labs-innovation-focused-on-delivering-smarter-more-valuable-solutions-for-professionals/" TargetMode="External"/><Relationship Id="rId26" Type="http://schemas.openxmlformats.org/officeDocument/2006/relationships/hyperlink" Target="https://investors.thomsonreuters.com/static-files/47412ad2-d720-4a02-99c7-cbd7c425c16d" TargetMode="External"/><Relationship Id="rId231" Type="http://schemas.openxmlformats.org/officeDocument/2006/relationships/hyperlink" Target="https://investors.thomsonreuters.com/static-files/47412ad2-d720-4a02-99c7-cbd7c425c16d" TargetMode="External"/><Relationship Id="rId252" Type="http://schemas.openxmlformats.org/officeDocument/2006/relationships/hyperlink" Target="https://www.thomsonreuters.com/en-us/posts/our-purpose/year-in-review-celebrating-the-best-of-working-at-thomson-reuters-in-2023/" TargetMode="External"/><Relationship Id="rId273" Type="http://schemas.openxmlformats.org/officeDocument/2006/relationships/hyperlink" Target="https://investors.thomsonreuters.com/static-files/47412ad2-d720-4a02-99c7-cbd7c425c16d" TargetMode="External"/><Relationship Id="rId294" Type="http://schemas.openxmlformats.org/officeDocument/2006/relationships/hyperlink" Target="https://trten.sharepoint.com/Shared%20Documents/TR%20Corporate%20Deck_FINAL_June30_2023.pdf?web=1" TargetMode="External"/><Relationship Id="rId308" Type="http://schemas.openxmlformats.org/officeDocument/2006/relationships/image" Target="media/image3.png"/><Relationship Id="rId329" Type="http://schemas.openxmlformats.org/officeDocument/2006/relationships/hyperlink" Target="https://trten-my.sharepoint.com/personal/nick_hern_thomsonreuters_com/VivaEngage/Attachments/Storyline%201/Thomson%20Reuters%20Competitive%20Intelligence%20Briefing_.pdf?web=1" TargetMode="External"/><Relationship Id="rId47" Type="http://schemas.openxmlformats.org/officeDocument/2006/relationships/hyperlink" Target="https://investors.thomsonreuters.com/static-files/47412ad2-d720-4a02-99c7-cbd7c425c16d" TargetMode="External"/><Relationship Id="rId68" Type="http://schemas.openxmlformats.org/officeDocument/2006/relationships/hyperlink" Target="https://www.hrgrapevine.com/us/content/article/2024-11-15-you-will-be-left-behind-thomson-reuters-cpo-says-staff-must-upskill-in-ai-but-will-guide-them-through-the-journey" TargetMode="External"/><Relationship Id="rId89" Type="http://schemas.openxmlformats.org/officeDocument/2006/relationships/hyperlink" Target="https://ir.thomsonreuters.com/index.php/static-files/e9dd3d54-b4ad-4393-8c3b-7c2a84cd65bb" TargetMode="External"/><Relationship Id="rId112" Type="http://schemas.openxmlformats.org/officeDocument/2006/relationships/hyperlink" Target="https://ir.thomsonreuters.com/index.php/static-files/e9dd3d54-b4ad-4393-8c3b-7c2a84cd65bb" TargetMode="External"/><Relationship Id="rId133" Type="http://schemas.openxmlformats.org/officeDocument/2006/relationships/hyperlink" Target="https://www.prnewswire.com/news-releases/thomson-reuters-unveils-generative-ai-strategy-designed-to-transform-the-future-of-professionals-301973542.html" TargetMode="External"/><Relationship Id="rId154" Type="http://schemas.openxmlformats.org/officeDocument/2006/relationships/hyperlink" Target="https://trten.sharepoint.com/sites/AnalyticsTR-02-ProgramandProjects/Shared%20Documents/03%20-%20Program%20and%20Projects/Business%20Functions/Global%20Print/Print%20360/Use%20Cases/GenAI/Content%20Summarization-Comparison/Solution%20Documents/Old/Approach%203.docx?web=1" TargetMode="External"/><Relationship Id="rId175" Type="http://schemas.openxmlformats.org/officeDocument/2006/relationships/hyperlink" Target="https://trten.sharepoint.com/sites/intr-asia-and-emerging-markets/Shared%20Documents/TR%20Corporate%20Deck_2025.pptx?web=1" TargetMode="External"/><Relationship Id="rId340"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361"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196" Type="http://schemas.openxmlformats.org/officeDocument/2006/relationships/hyperlink" Target="https://www.cpapracticeadvisor.com/2025/02/10/thomson-reuters-announces-new-150m-corporate-venture-capital-fund/155782/" TargetMode="External"/><Relationship Id="rId200" Type="http://schemas.openxmlformats.org/officeDocument/2006/relationships/hyperlink" Target="https://www.thomsonreuters.com/en-us/posts/innovation/thomson-reuters-labs-innovation-focused-on-delivering-smarter-more-valuable-solutions-for-professionals/" TargetMode="External"/><Relationship Id="rId16" Type="http://schemas.openxmlformats.org/officeDocument/2006/relationships/hyperlink" Target="https://www.hrgrapevine.com/us/content/article/2024-11-15-you-will-be-left-behind-thomson-reuters-cpo-says-staff-must-upskill-in-ai-but-will-guide-them-through-the-journey" TargetMode="External"/><Relationship Id="rId221" Type="http://schemas.openxmlformats.org/officeDocument/2006/relationships/hyperlink" Target="https://www.hrgrapevine.com/us/content/article/2024-11-15-you-will-be-left-behind-thomson-reuters-cpo-says-staff-must-upskill-in-ai-but-will-guide-them-through-the-journey" TargetMode="External"/><Relationship Id="rId242" Type="http://schemas.openxmlformats.org/officeDocument/2006/relationships/hyperlink" Target="https://investors.thomsonreuters.com/static-files/47412ad2-d720-4a02-99c7-cbd7c425c16d" TargetMode="External"/><Relationship Id="rId263" Type="http://schemas.openxmlformats.org/officeDocument/2006/relationships/hyperlink" Target="https://investors.thomsonreuters.com/static-files/47412ad2-d720-4a02-99c7-cbd7c425c16d" TargetMode="External"/><Relationship Id="rId284" Type="http://schemas.openxmlformats.org/officeDocument/2006/relationships/hyperlink" Target="https://investors.thomsonreuters.com/static-files/47412ad2-d720-4a02-99c7-cbd7c425c16d" TargetMode="External"/><Relationship Id="rId319" Type="http://schemas.openxmlformats.org/officeDocument/2006/relationships/hyperlink" Target="https://trten.sharepoint.com/sites/intr-product-marketing/Shared%20Documents/Product%20Marketing%20Alliance/Live%20Session%20Repository/Live%20Session%201_Positioning/Thomson%20Reuters%20-%20Positioning%20Workshop_.pdf?web=1" TargetMode="External"/><Relationship Id="rId37" Type="http://schemas.openxmlformats.org/officeDocument/2006/relationships/hyperlink" Target="https://ir.thomsonreuters.com/static-files/e9dd3d54-b4ad-4393-8c3b-7c2a84cd65bb" TargetMode="External"/><Relationship Id="rId58" Type="http://schemas.openxmlformats.org/officeDocument/2006/relationships/hyperlink" Target="https://www.hrgrapevine.com/us/content/article/2024-11-15-you-will-be-left-behind-thomson-reuters-cpo-says-staff-must-upskill-in-ai-but-will-guide-them-through-the-journey" TargetMode="External"/><Relationship Id="rId79" Type="http://schemas.openxmlformats.org/officeDocument/2006/relationships/hyperlink" Target="https://investors.thomsonreuters.com/static-files/47412ad2-d720-4a02-99c7-cbd7c425c16d" TargetMode="External"/><Relationship Id="rId102" Type="http://schemas.openxmlformats.org/officeDocument/2006/relationships/hyperlink" Target="https://ir.thomsonreuters.com/index.php/static-files/e9dd3d54-b4ad-4393-8c3b-7c2a84cd65bb" TargetMode="External"/><Relationship Id="rId123" Type="http://schemas.openxmlformats.org/officeDocument/2006/relationships/hyperlink" Target="https://www.prnewswire.com/news-releases/thomson-reuters-unveils-generative-ai-strategy-designed-to-transform-the-future-of-professionals-301973542.html" TargetMode="External"/><Relationship Id="rId144" Type="http://schemas.openxmlformats.org/officeDocument/2006/relationships/hyperlink" Target="https://trten.sharepoint.com/sites/intr-enterprise-architecture/SitePages/TR-Enterprise-Operating-Processes.aspx?web=1" TargetMode="External"/><Relationship Id="rId330" Type="http://schemas.openxmlformats.org/officeDocument/2006/relationships/hyperlink" Target="https://trten.sharepoint.com/sites/intr-product/Shared%20Documents/FAQ%20for%20Thomson%20Reuters%20and%20Microsoft%20Announcement%20(1).pdf?web=1" TargetMode="External"/><Relationship Id="rId90"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165" Type="http://schemas.openxmlformats.org/officeDocument/2006/relationships/hyperlink" Target="https://trten.sharepoint.com/Shared%20Documents/TR%20Corporate%20Deck_FINAL_June30_2023.pdf?web=1" TargetMode="External"/><Relationship Id="rId186" Type="http://schemas.openxmlformats.org/officeDocument/2006/relationships/hyperlink" Target="https://trten.sharepoint.com/sites/intr-ourcontent/Shared%20Documents/1%20-%20OurContent%20Main/Meetings%20and%20Q&amp;A/Global%20Content%20Townhalls/Q1%202023%20Content%20Ops%20Townhall_March%202,%202023.pdf?web=1" TargetMode="External"/><Relationship Id="rId351"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211" Type="http://schemas.openxmlformats.org/officeDocument/2006/relationships/hyperlink" Target="https://www.thomsonreuters.com/en-us/posts/innovation/thomson-reuters-labs-innovation-focused-on-delivering-smarter-more-valuable-solutions-for-professionals/" TargetMode="External"/><Relationship Id="rId232" Type="http://schemas.openxmlformats.org/officeDocument/2006/relationships/hyperlink" Target="https://investors.thomsonreuters.com/static-files/47412ad2-d720-4a02-99c7-cbd7c425c16d" TargetMode="External"/><Relationship Id="rId253" Type="http://schemas.openxmlformats.org/officeDocument/2006/relationships/hyperlink" Target="https://www.hrgrapevine.com/us/content/article/2024-11-15-you-will-be-left-behind-thomson-reuters-cpo-says-staff-must-upskill-in-ai-but-will-guide-them-through-the-journey" TargetMode="External"/><Relationship Id="rId274" Type="http://schemas.openxmlformats.org/officeDocument/2006/relationships/hyperlink" Target="https://investors.thomsonreuters.com/static-files/47412ad2-d720-4a02-99c7-cbd7c425c16d" TargetMode="External"/><Relationship Id="rId295" Type="http://schemas.openxmlformats.org/officeDocument/2006/relationships/image" Target="media/image2.png"/><Relationship Id="rId309" Type="http://schemas.openxmlformats.org/officeDocument/2006/relationships/hyperlink" Target="https://trten-my.sharepoint.com/personal/nick_hern_thomsonreuters_com/VivaEngage/Attachments/Storyline%201/Thomson%20Reuters%20Competitive%20Intelligence%20Briefing_.pdf?web=1" TargetMode="External"/><Relationship Id="rId27" Type="http://schemas.openxmlformats.org/officeDocument/2006/relationships/hyperlink" Target="https://investors.thomsonreuters.com/static-files/47412ad2-d720-4a02-99c7-cbd7c425c16d" TargetMode="External"/><Relationship Id="rId48" Type="http://schemas.openxmlformats.org/officeDocument/2006/relationships/hyperlink" Target="https://investors.thomsonreuters.com/static-files/47412ad2-d720-4a02-99c7-cbd7c425c16d" TargetMode="External"/><Relationship Id="rId69" Type="http://schemas.openxmlformats.org/officeDocument/2006/relationships/hyperlink" Target="https://investors.thomsonreuters.com/static-files/47412ad2-d720-4a02-99c7-cbd7c425c16d" TargetMode="External"/><Relationship Id="rId113" Type="http://schemas.openxmlformats.org/officeDocument/2006/relationships/hyperlink" Target="https://trten-my.sharepoint.com/personal/abdul_pasha_thomsonreuters_com/Documents/Microsoft%20Teams%20Chat%20Files/2024%20_Planning.pptx?web=1" TargetMode="External"/><Relationship Id="rId134" Type="http://schemas.openxmlformats.org/officeDocument/2006/relationships/hyperlink" Target="https://www.prnewswire.com/news-releases/thomson-reuters-unveils-generative-ai-strategy-designed-to-transform-the-future-of-professionals-301973542.html" TargetMode="External"/><Relationship Id="rId320" Type="http://schemas.openxmlformats.org/officeDocument/2006/relationships/hyperlink" Target="https://trten.sharepoint.com/Shared%20Documents/TR%20Corporate%20Deck_FINAL_June30_2023.pdf?web=1" TargetMode="External"/><Relationship Id="rId80" Type="http://schemas.openxmlformats.org/officeDocument/2006/relationships/hyperlink" Target="https://investors.thomsonreuters.com/static-files/47412ad2-d720-4a02-99c7-cbd7c425c16d" TargetMode="External"/><Relationship Id="rId155" Type="http://schemas.openxmlformats.org/officeDocument/2006/relationships/hyperlink" Target="https://trten-my.sharepoint.com/personal/ananya_khare_thomsonreuters_com/Documents/Microsoft%20Teams%20Chat%20Files/END%20SEMESTER%20REPORT-Ananya%20Khare-BT19GCS100.docx?web=1" TargetMode="External"/><Relationship Id="rId176" Type="http://schemas.openxmlformats.org/officeDocument/2006/relationships/hyperlink" Target="https://trten.sharepoint.com/sites/intr-asia-and-emerging-markets/Shared%20Documents/TR%20Corporate%20Deck_2025.pptx?web=1" TargetMode="External"/><Relationship Id="rId197" Type="http://schemas.openxmlformats.org/officeDocument/2006/relationships/hyperlink" Target="https://www.thomsonreuters.com/en-us/posts/innovation/thomson-reuters-labs-innovation-focused-on-delivering-smarter-more-valuable-solutions-for-professionals/" TargetMode="External"/><Relationship Id="rId341" Type="http://schemas.openxmlformats.org/officeDocument/2006/relationships/hyperlink" Target="https://trten.sharepoint.com/sites/intr-enterprise-architecture/SitePages/Sustainability--Microsoft-Services.aspx?web=1" TargetMode="External"/><Relationship Id="rId362" Type="http://schemas.openxmlformats.org/officeDocument/2006/relationships/hyperlink" Target="https://trten.sharepoint.com/sites/intr-enterprise-architecture/SitePages/Sustainability--Microsoft-Services.aspx?web=1" TargetMode="External"/><Relationship Id="rId201" Type="http://schemas.openxmlformats.org/officeDocument/2006/relationships/hyperlink" Target="https://www.thomsonreuters.com/en-us/posts/innovation/thomson-reuters-labs-innovation-focused-on-delivering-smarter-more-valuable-solutions-for-professionals/" TargetMode="External"/><Relationship Id="rId222" Type="http://schemas.openxmlformats.org/officeDocument/2006/relationships/hyperlink" Target="https://www.hrgrapevine.com/us/content/article/2024-11-15-you-will-be-left-behind-thomson-reuters-cpo-says-staff-must-upskill-in-ai-but-will-guide-them-through-the-journey" TargetMode="External"/><Relationship Id="rId243" Type="http://schemas.openxmlformats.org/officeDocument/2006/relationships/hyperlink" Target="https://investors.thomsonreuters.com/static-files/47412ad2-d720-4a02-99c7-cbd7c425c16d" TargetMode="External"/><Relationship Id="rId264" Type="http://schemas.openxmlformats.org/officeDocument/2006/relationships/hyperlink" Target="https://investors.thomsonreuters.com/static-files/47412ad2-d720-4a02-99c7-cbd7c425c16d" TargetMode="External"/><Relationship Id="rId285" Type="http://schemas.openxmlformats.org/officeDocument/2006/relationships/hyperlink" Target="https://investors.thomsonreuters.com/static-files/47412ad2-d720-4a02-99c7-cbd7c425c16d" TargetMode="External"/><Relationship Id="rId17" Type="http://schemas.openxmlformats.org/officeDocument/2006/relationships/hyperlink" Target="https://www.hrgrapevine.com/us/content/article/2024-11-15-you-will-be-left-behind-thomson-reuters-cpo-says-staff-must-upskill-in-ai-but-will-guide-them-through-the-journey" TargetMode="External"/><Relationship Id="rId38" Type="http://schemas.openxmlformats.org/officeDocument/2006/relationships/hyperlink" Target="https://investors.thomsonreuters.com/static-files/47412ad2-d720-4a02-99c7-cbd7c425c16d" TargetMode="External"/><Relationship Id="rId59" Type="http://schemas.openxmlformats.org/officeDocument/2006/relationships/hyperlink" Target="https://ir.thomsonreuters.com/static-files/e9dd3d54-b4ad-4393-8c3b-7c2a84cd65bb" TargetMode="External"/><Relationship Id="rId103" Type="http://schemas.openxmlformats.org/officeDocument/2006/relationships/hyperlink" Target="https://ir.thomsonreuters.com/index.php/static-files/e9dd3d54-b4ad-4393-8c3b-7c2a84cd65bb" TargetMode="External"/><Relationship Id="rId124" Type="http://schemas.openxmlformats.org/officeDocument/2006/relationships/hyperlink" Target="https://www.prnewswire.com/news-releases/thomson-reuters-unveils-generative-ai-strategy-designed-to-transform-the-future-of-professionals-301973542.html" TargetMode="External"/><Relationship Id="rId310" Type="http://schemas.openxmlformats.org/officeDocument/2006/relationships/hyperlink" Target="https://trten-my.sharepoint.com/personal/nick_hern_thomsonreuters_com/VivaEngage/Attachments/Storyline%201/Thomson%20Reuters%20Competitive%20Intelligence%20Briefing_.pdf?web=1" TargetMode="External"/><Relationship Id="rId70" Type="http://schemas.openxmlformats.org/officeDocument/2006/relationships/hyperlink" Target="https://investors.thomsonreuters.com/static-files/47412ad2-d720-4a02-99c7-cbd7c425c16d" TargetMode="External"/><Relationship Id="rId91"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145" Type="http://schemas.openxmlformats.org/officeDocument/2006/relationships/hyperlink" Target="https://trten-my.sharepoint.com/personal/abdul_pasha_thomsonreuters_com/Documents/Microsoft%20Teams%20Chat%20Files/2024%20_Planning.pptx?web=1" TargetMode="External"/><Relationship Id="rId166" Type="http://schemas.openxmlformats.org/officeDocument/2006/relationships/hyperlink" Target="https://trten.sharepoint.com/sites/intr-labs/SitePages/Westlaw_Precision_Announcement_Sep_29_2022.aspx?web=1" TargetMode="External"/><Relationship Id="rId187" Type="http://schemas.openxmlformats.org/officeDocument/2006/relationships/hyperlink" Target="https://trten.sharepoint.com/sites/AutomationCoEACoE/Shared%20Documents/General/Internal%20AI/Industry%20Benchmarking%20&amp;%20Research/Content%20Operations/Output/Content%20Operations%20Output%20V1.docx?web=1" TargetMode="External"/><Relationship Id="rId331" Type="http://schemas.openxmlformats.org/officeDocument/2006/relationships/hyperlink" Target="https://www.prnewswire.com/news-releases/thomson-reuters-unveils-generative-ai-strategy-designed-to-transform-the-future-of-professionals-301973542.html" TargetMode="External"/><Relationship Id="rId352" Type="http://schemas.openxmlformats.org/officeDocument/2006/relationships/hyperlink" Target="https://trten.sharepoint.com/sites/engineering64/Shared%20Documents/Apps/Viva%20Engage/Thomson%20Reuters%20-%20Optimizing%20GenAI%20for%20Sustainability.pdf?web=1" TargetMode="External"/><Relationship Id="rId1" Type="http://schemas.openxmlformats.org/officeDocument/2006/relationships/customXml" Target="../customXml/item1.xml"/><Relationship Id="rId212" Type="http://schemas.openxmlformats.org/officeDocument/2006/relationships/hyperlink" Target="https://www.hrgrapevine.com/us/content/article/2024-11-15-you-will-be-left-behind-thomson-reuters-cpo-says-staff-must-upskill-in-ai-but-will-guide-them-through-the-journey" TargetMode="External"/><Relationship Id="rId233" Type="http://schemas.openxmlformats.org/officeDocument/2006/relationships/hyperlink" Target="https://www.hrgrapevine.com/us/content/article/2024-11-15-you-will-be-left-behind-thomson-reuters-cpo-says-staff-must-upskill-in-ai-but-will-guide-them-through-the-journey" TargetMode="External"/><Relationship Id="rId254" Type="http://schemas.openxmlformats.org/officeDocument/2006/relationships/hyperlink" Target="https://www.hrgrapevine.com/us/content/article/2024-11-15-you-will-be-left-behind-thomson-reuters-cpo-says-staff-must-upskill-in-ai-but-will-guide-them-through-the-journey" TargetMode="External"/><Relationship Id="rId28" Type="http://schemas.openxmlformats.org/officeDocument/2006/relationships/hyperlink" Target="https://investors.thomsonreuters.com/static-files/47412ad2-d720-4a02-99c7-cbd7c425c16d" TargetMode="External"/><Relationship Id="rId49" Type="http://schemas.openxmlformats.org/officeDocument/2006/relationships/hyperlink" Target="https://investors.thomsonreuters.com/static-files/47412ad2-d720-4a02-99c7-cbd7c425c16d" TargetMode="External"/><Relationship Id="rId114" Type="http://schemas.openxmlformats.org/officeDocument/2006/relationships/hyperlink" Target="https://trten-my.sharepoint.com/personal/abdul_pasha_thomsonreuters_com/Documents/Microsoft%20Teams%20Chat%20Files/2024%20_Planning.pptx?web=1" TargetMode="External"/><Relationship Id="rId275" Type="http://schemas.openxmlformats.org/officeDocument/2006/relationships/hyperlink" Target="https://www.hrgrapevine.com/us/content/article/2024-11-15-you-will-be-left-behind-thomson-reuters-cpo-says-staff-must-upskill-in-ai-but-will-guide-them-through-the-journey" TargetMode="External"/><Relationship Id="rId296" Type="http://schemas.openxmlformats.org/officeDocument/2006/relationships/hyperlink" Target="https://trten.sharepoint.com/sites/ELTC/Shared%20Documents/General/16.%20Financial%20Management/16.6%20%20Financial%20Planning,%20Analysis%20and%20EPC/Supplier%20Engagements/Thomson%20Reuters%20Commercial%20Systems%20Assessment%20and%20Implementation%20Plan%20RFP.docx?web=1" TargetMode="External"/><Relationship Id="rId300" Type="http://schemas.openxmlformats.org/officeDocument/2006/relationships/hyperlink" Target="https://trten.sharepoint.com/sites/intr-cybercom/Shared%20Documents/SecurityProductCollateral/thomson-reuters-westlaw-anz-security-summary.pdf?web=1" TargetMode="External"/><Relationship Id="rId60" Type="http://schemas.openxmlformats.org/officeDocument/2006/relationships/hyperlink" Target="https://investors.thomsonreuters.com/static-files/47412ad2-d720-4a02-99c7-cbd7c425c16d" TargetMode="External"/><Relationship Id="rId81" Type="http://schemas.openxmlformats.org/officeDocument/2006/relationships/hyperlink" Target="https://www.hrgrapevine.com/us/content/article/2024-11-15-you-will-be-left-behind-thomson-reuters-cpo-says-staff-must-upskill-in-ai-but-will-guide-them-through-the-journey" TargetMode="External"/><Relationship Id="rId135" Type="http://schemas.openxmlformats.org/officeDocument/2006/relationships/hyperlink" Target="https://www.prnewswire.com/news-releases/thomson-reuters-unveils-generative-ai-strategy-designed-to-transform-the-future-of-professionals-301973542.html" TargetMode="External"/><Relationship Id="rId156" Type="http://schemas.openxmlformats.org/officeDocument/2006/relationships/hyperlink" Target="https://trten.sharepoint.com/sites/GlobalServices-DigitalCapability/Shared%20Documents/Thomson%20Reuters%20RFP%20Document%20V4.docx?web=1" TargetMode="External"/><Relationship Id="rId177" Type="http://schemas.openxmlformats.org/officeDocument/2006/relationships/hyperlink" Target="https://trten.sharepoint.com/sites/AutomationCoEACoE/Shared%20Documents/General/Internal%20AI/Industry%20Benchmarking%20&amp;%20Research/Content%20Operations/Output/Content%20Operations%20Output%20V1.docx?web=1" TargetMode="External"/><Relationship Id="rId198" Type="http://schemas.openxmlformats.org/officeDocument/2006/relationships/hyperlink" Target="https://www.thomsonreuters.com/en-us/posts/innovation/thomson-reuters-labs-innovation-focused-on-delivering-smarter-more-valuable-solutions-for-professionals/" TargetMode="External"/><Relationship Id="rId321" Type="http://schemas.openxmlformats.org/officeDocument/2006/relationships/image" Target="media/image4.png"/><Relationship Id="rId342" Type="http://schemas.openxmlformats.org/officeDocument/2006/relationships/hyperlink" Target="https://trten.sharepoint.com/sites/AutomationCoEACoE/Shared%20Documents/%5b03%20-%20Program%20and%20Projects%5d/HR-Genie/HR%20Genie%20-%20Blue%20Print%20Sessions/02-Deliverables/Thomson%20Reuters_HRGenie_FDD_v1.docx?web=1" TargetMode="External"/><Relationship Id="rId363" Type="http://schemas.openxmlformats.org/officeDocument/2006/relationships/hyperlink" Target="https://trten.sharepoint.com/sites/AutomationCoEACoE/Shared%20Documents/%5b03%20-%20Program%20and%20Projects%5d/HR-Genie/HR%20Genie%20-%20Blue%20Print%20Sessions/02-Deliverables/Thomson%20Reuters_HRGenie_FDD_v1.docx?web=1" TargetMode="External"/><Relationship Id="rId202" Type="http://schemas.openxmlformats.org/officeDocument/2006/relationships/hyperlink" Target="https://www.thomsonreuters.com/en-us/posts/innovation/thomson-reuters-labs-innovation-focused-on-delivering-smarter-more-valuable-solutions-for-professionals/" TargetMode="External"/><Relationship Id="rId223" Type="http://schemas.openxmlformats.org/officeDocument/2006/relationships/hyperlink" Target="https://www.thomsonreuters.com/en-us/posts/our-purpose/year-in-review-celebrating-the-best-of-working-at-thomson-reuters-in-2023/" TargetMode="External"/><Relationship Id="rId244" Type="http://schemas.openxmlformats.org/officeDocument/2006/relationships/hyperlink" Target="https://www.hrgrapevine.com/us/content/article/2024-11-15-you-will-be-left-behind-thomson-reuters-cpo-says-staff-must-upskill-in-ai-but-will-guide-them-through-the-journey" TargetMode="External"/><Relationship Id="rId18" Type="http://schemas.openxmlformats.org/officeDocument/2006/relationships/hyperlink" Target="https://www.hrgrapevine.com/us/content/article/2024-11-15-you-will-be-left-behind-thomson-reuters-cpo-says-staff-must-upskill-in-ai-but-will-guide-them-through-the-journey" TargetMode="External"/><Relationship Id="rId39" Type="http://schemas.openxmlformats.org/officeDocument/2006/relationships/hyperlink" Target="https://investors.thomsonreuters.com/static-files/47412ad2-d720-4a02-99c7-cbd7c425c16d" TargetMode="External"/><Relationship Id="rId265" Type="http://schemas.openxmlformats.org/officeDocument/2006/relationships/hyperlink" Target="https://investors.thomsonreuters.com/static-files/47412ad2-d720-4a02-99c7-cbd7c425c16d" TargetMode="External"/><Relationship Id="rId286" Type="http://schemas.openxmlformats.org/officeDocument/2006/relationships/hyperlink" Target="https://trten.sharepoint.com/sites/intr-generative-ai-platform/Shared%20Documents/Thomson%20Reuters%20Generative%20AI%20Platform.pptx?web=1" TargetMode="External"/><Relationship Id="rId50" Type="http://schemas.openxmlformats.org/officeDocument/2006/relationships/hyperlink" Target="https://investors.thomsonreuters.com/static-files/47412ad2-d720-4a02-99c7-cbd7c425c16d" TargetMode="External"/><Relationship Id="rId104" Type="http://schemas.openxmlformats.org/officeDocument/2006/relationships/hyperlink" Target="https://ir.thomsonreuters.com/index.php/static-files/e9dd3d54-b4ad-4393-8c3b-7c2a84cd65bb" TargetMode="External"/><Relationship Id="rId125" Type="http://schemas.openxmlformats.org/officeDocument/2006/relationships/hyperlink" Target="https://www.prnewswire.com/news-releases/thomson-reuters-unveils-generative-ai-strategy-designed-to-transform-the-future-of-professionals-301973542.html" TargetMode="External"/><Relationship Id="rId146" Type="http://schemas.openxmlformats.org/officeDocument/2006/relationships/hyperlink" Target="https://www.prnewswire.com/news-releases/thomson-reuters-unveils-generative-ai-strategy-designed-to-transform-the-future-of-professionals-301973542.html" TargetMode="External"/><Relationship Id="rId167" Type="http://schemas.openxmlformats.org/officeDocument/2006/relationships/hyperlink" Target="https://trten.sharepoint.com/sites/intr-news/SitePages/news-Introducing-Westlaw-Precision.aspx?web=1" TargetMode="External"/><Relationship Id="rId188" Type="http://schemas.openxmlformats.org/officeDocument/2006/relationships/hyperlink" Target="https://investors.thomsonreuters.com/static-files/47412ad2-d720-4a02-99c7-cbd7c425c16d" TargetMode="External"/><Relationship Id="rId311" Type="http://schemas.openxmlformats.org/officeDocument/2006/relationships/hyperlink" Target="https://trten.sharepoint.com/sites/intr-product/Shared%20Documents/FAQ%20for%20Thomson%20Reuters%20and%20Microsoft%20Announcement%20%281%29.pdf?web=1" TargetMode="External"/><Relationship Id="rId332" Type="http://schemas.openxmlformats.org/officeDocument/2006/relationships/hyperlink" Target="https://trten.sharepoint.com/sites/intr-ourcontent/Shared%20Documents/1%20-%20OurContent%20Main/All-Employee%20Meetings/Q2%202023%20Content%20Ops%20Townhall%20June%206,%202023.pdf?web=1" TargetMode="External"/><Relationship Id="rId353" Type="http://schemas.openxmlformats.org/officeDocument/2006/relationships/hyperlink" Target="https://trten.sharepoint.com/sites/engineering64/Shared%20Documents/Apps/Viva%20Engage/Thomson%20Reuters%20-%20Optimizing%20GenAI%20for%20Sustainability.pdf?web=1" TargetMode="External"/><Relationship Id="rId71" Type="http://schemas.openxmlformats.org/officeDocument/2006/relationships/hyperlink" Target="https://investors.thomsonreuters.com/static-files/47412ad2-d720-4a02-99c7-cbd7c425c16d" TargetMode="External"/><Relationship Id="rId92"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213" Type="http://schemas.openxmlformats.org/officeDocument/2006/relationships/hyperlink" Target="https://investors.thomsonreuters.com/static-files/47412ad2-d720-4a02-99c7-cbd7c425c16d" TargetMode="External"/><Relationship Id="rId234" Type="http://schemas.openxmlformats.org/officeDocument/2006/relationships/hyperlink" Target="https://www.hrgrapevine.com/us/content/article/2024-11-15-you-will-be-left-behind-thomson-reuters-cpo-says-staff-must-upskill-in-ai-but-will-guide-them-through-the-journey" TargetMode="External"/><Relationship Id="rId2" Type="http://schemas.openxmlformats.org/officeDocument/2006/relationships/customXml" Target="../customXml/item2.xml"/><Relationship Id="rId29" Type="http://schemas.openxmlformats.org/officeDocument/2006/relationships/hyperlink" Target="https://investors.thomsonreuters.com/static-files/47412ad2-d720-4a02-99c7-cbd7c425c16d" TargetMode="External"/><Relationship Id="rId255" Type="http://schemas.openxmlformats.org/officeDocument/2006/relationships/hyperlink" Target="https://www.hrgrapevine.com/us/content/article/2024-11-15-you-will-be-left-behind-thomson-reuters-cpo-says-staff-must-upskill-in-ai-but-will-guide-them-through-the-journey" TargetMode="External"/><Relationship Id="rId276" Type="http://schemas.openxmlformats.org/officeDocument/2006/relationships/hyperlink" Target="https://www.hrgrapevine.com/us/content/article/2024-11-15-you-will-be-left-behind-thomson-reuters-cpo-says-staff-must-upskill-in-ai-but-will-guide-them-through-the-journey" TargetMode="External"/><Relationship Id="rId297" Type="http://schemas.openxmlformats.org/officeDocument/2006/relationships/hyperlink" Target="https://trten.sharepoint.com/sites/intr-cybercom/Shared%20Documents/SecurityProductCollateral/thomson-reuters-westlaw-anz-security-summary.pdf?web=1" TargetMode="External"/><Relationship Id="rId40" Type="http://schemas.openxmlformats.org/officeDocument/2006/relationships/hyperlink" Target="https://investors.thomsonreuters.com/static-files/47412ad2-d720-4a02-99c7-cbd7c425c16d" TargetMode="External"/><Relationship Id="rId115" Type="http://schemas.openxmlformats.org/officeDocument/2006/relationships/hyperlink" Target="https://trten-my.sharepoint.com/personal/abdul_pasha_thomsonreuters_com/Documents/Microsoft%20Teams%20Chat%20Files/2024%20_Planning.pptx?web=1" TargetMode="External"/><Relationship Id="rId136" Type="http://schemas.openxmlformats.org/officeDocument/2006/relationships/hyperlink" Target="https://www.prnewswire.com/news-releases/thomson-reuters-unveils-generative-ai-strategy-designed-to-transform-the-future-of-professionals-301973542.html" TargetMode="External"/><Relationship Id="rId157" Type="http://schemas.openxmlformats.org/officeDocument/2006/relationships/hyperlink" Target="https://trten.sharepoint.com/sites/intr-enterprise-architecture/SitePages/Sustainability--Microsoft-Services.aspx?web=1" TargetMode="External"/><Relationship Id="rId178" Type="http://schemas.openxmlformats.org/officeDocument/2006/relationships/hyperlink" Target="https://trten.sharepoint.com/sites/AutomationCoEACoE/Shared%20Documents/General/Internal%20AI/Industry%20Benchmarking%20&amp;%20Research/Content%20Operations/Output/Content%20Operations%20Output%20V1.docx?web=1" TargetMode="External"/><Relationship Id="rId301" Type="http://schemas.openxmlformats.org/officeDocument/2006/relationships/hyperlink" Target="https://trten.sharepoint.com/Shared%20Documents/TR%20Corporate%20Deck_FINAL_June30_2023.pdf?web=1" TargetMode="External"/><Relationship Id="rId322" Type="http://schemas.openxmlformats.org/officeDocument/2006/relationships/hyperlink" Target="https://trten.sharepoint.com/Shared%20Documents/TR%20Corporate%20Deck_FINAL_June30_2023.pdf?web=1" TargetMode="External"/><Relationship Id="rId343" Type="http://schemas.openxmlformats.org/officeDocument/2006/relationships/hyperlink" Target="https://trten.sharepoint.com/sites/intr-enterprise-architecture/SitePages/Sustainability--Microsoft-Services.aspx?web=1" TargetMode="External"/><Relationship Id="rId364" Type="http://schemas.openxmlformats.org/officeDocument/2006/relationships/hyperlink" Target="https://trten-my.sharepoint.com/personal/richie_samson_thomsonreuters_com/Documents/Microsoft%20Copilot%20Chat%20Files/1a-Prompt_Internal%20Company%20Intelligence.docx?web=1" TargetMode="External"/><Relationship Id="rId61" Type="http://schemas.openxmlformats.org/officeDocument/2006/relationships/hyperlink" Target="https://investors.thomsonreuters.com/static-files/47412ad2-d720-4a02-99c7-cbd7c425c16d" TargetMode="External"/><Relationship Id="rId82" Type="http://schemas.openxmlformats.org/officeDocument/2006/relationships/hyperlink" Target="https://ir.thomsonreuters.com/static-files/e9dd3d54-b4ad-4393-8c3b-7c2a84cd65bb" TargetMode="External"/><Relationship Id="rId199" Type="http://schemas.openxmlformats.org/officeDocument/2006/relationships/hyperlink" Target="https://investors.thomsonreuters.com/static-files/47412ad2-d720-4a02-99c7-cbd7c425c16d" TargetMode="External"/><Relationship Id="rId203" Type="http://schemas.openxmlformats.org/officeDocument/2006/relationships/hyperlink" Target="https://www.thomsonreuters.com/en-us/posts/our-purpose/year-in-review-celebrating-the-best-of-working-at-thomson-reuters-in-2023/" TargetMode="External"/><Relationship Id="rId19" Type="http://schemas.openxmlformats.org/officeDocument/2006/relationships/hyperlink" Target="https://www.hrgrapevine.com/us/content/article/2024-11-15-you-will-be-left-behind-thomson-reuters-cpo-says-staff-must-upskill-in-ai-but-will-guide-them-through-the-journey" TargetMode="External"/><Relationship Id="rId224" Type="http://schemas.openxmlformats.org/officeDocument/2006/relationships/hyperlink" Target="https://trten.sharepoint.com/sites/intr-all-things-ai/Shared%20Documents/AI%20Guidance%20materials/Using%20Generative%20AI%20at%20Thomson%20Reuters.pdf?web=1" TargetMode="External"/><Relationship Id="rId245" Type="http://schemas.openxmlformats.org/officeDocument/2006/relationships/hyperlink" Target="https://www.hrgrapevine.com/us/content/article/2024-11-15-you-will-be-left-behind-thomson-reuters-cpo-says-staff-must-upskill-in-ai-but-will-guide-them-through-the-journey" TargetMode="External"/><Relationship Id="rId266" Type="http://schemas.openxmlformats.org/officeDocument/2006/relationships/hyperlink" Target="https://investors.thomsonreuters.com/static-files/47412ad2-d720-4a02-99c7-cbd7c425c16d" TargetMode="External"/><Relationship Id="rId287" Type="http://schemas.openxmlformats.org/officeDocument/2006/relationships/hyperlink" Target="https://investors.thomsonreuters.com/static-files/47412ad2-d720-4a02-99c7-cbd7c425c16d" TargetMode="External"/><Relationship Id="rId30" Type="http://schemas.openxmlformats.org/officeDocument/2006/relationships/hyperlink" Target="https://investors.thomsonreuters.com/static-files/47412ad2-d720-4a02-99c7-cbd7c425c16d" TargetMode="External"/><Relationship Id="rId105" Type="http://schemas.openxmlformats.org/officeDocument/2006/relationships/hyperlink" Target="https://trten.sharepoint.com/sites/intr-manila/Shared%20Documents/SITE/2025/Q2%20Townhall/2025%20Q2%20Town%20Hall%20Presentation%20July%202,%202025.pdf?web=1" TargetMode="External"/><Relationship Id="rId126" Type="http://schemas.openxmlformats.org/officeDocument/2006/relationships/hyperlink" Target="https://www.prnewswire.com/news-releases/thomson-reuters-unveils-generative-ai-strategy-designed-to-transform-the-future-of-professionals-301973542.html" TargetMode="External"/><Relationship Id="rId147" Type="http://schemas.openxmlformats.org/officeDocument/2006/relationships/hyperlink" Target="https://trten-my.sharepoint.com/personal/ananya_khare_thomsonreuters_com/Documents/Microsoft%20Teams%20Chat%20Files/END%20SEMESTER%20REPORT-Ananya%20Khare-BT19GCS100.docx?web=1" TargetMode="External"/><Relationship Id="rId168" Type="http://schemas.openxmlformats.org/officeDocument/2006/relationships/hyperlink" Target="https://trten-my.sharepoint.com/personal/nick_hern_thomsonreuters_com/VivaEngage/Attachments/Storyline%201/Thomson%20Reuters%20Competitive%20Intelligence%20Briefing_.pdf?web=1" TargetMode="External"/><Relationship Id="rId312" Type="http://schemas.openxmlformats.org/officeDocument/2006/relationships/hyperlink" Target="https://trten-my.sharepoint.com/personal/nick_hern_thomsonreuters_com/VivaEngage/Attachments/Storyline%201/Thomson%20Reuters%20Competitive%20Intelligence%20Briefing_.pdf?web=1" TargetMode="External"/><Relationship Id="rId333" Type="http://schemas.openxmlformats.org/officeDocument/2006/relationships/hyperlink" Target="https://trten.sharepoint.com/sites/intr-cybercom/Shared%20Documents/SecurityProductCollateral/thomson-reuters-security-principles.pdf?web=1" TargetMode="External"/><Relationship Id="rId354" Type="http://schemas.openxmlformats.org/officeDocument/2006/relationships/hyperlink" Target="https://trten.sharepoint.com/sites/engineering64/Shared%20Documents/Apps/Viva%20Engage/Thomson%20Reuters%20-%20Optimizing%20GenAI%20for%20Sustainability.pdf?web=1" TargetMode="External"/><Relationship Id="rId51" Type="http://schemas.openxmlformats.org/officeDocument/2006/relationships/hyperlink" Target="https://investors.thomsonreuters.com/static-files/47412ad2-d720-4a02-99c7-cbd7c425c16d" TargetMode="External"/><Relationship Id="rId72" Type="http://schemas.openxmlformats.org/officeDocument/2006/relationships/hyperlink" Target="https://www.hrgrapevine.com/us/content/article/2024-11-15-you-will-be-left-behind-thomson-reuters-cpo-says-staff-must-upskill-in-ai-but-will-guide-them-through-the-journey" TargetMode="External"/><Relationship Id="rId93" Type="http://schemas.openxmlformats.org/officeDocument/2006/relationships/hyperlink" Target="https://trten.sharepoint.com/sites/GOSKnowledge/SitePages/Content-Process-Improvement.aspx?web=1" TargetMode="External"/><Relationship Id="rId189" Type="http://schemas.openxmlformats.org/officeDocument/2006/relationships/hyperlink" Target="https://www.cpapracticeadvisor.com/2025/02/10/thomson-reuters-announces-new-150m-corporate-venture-capital-fund/155782/" TargetMode="External"/><Relationship Id="rId3" Type="http://schemas.openxmlformats.org/officeDocument/2006/relationships/customXml" Target="../customXml/item3.xml"/><Relationship Id="rId214" Type="http://schemas.openxmlformats.org/officeDocument/2006/relationships/hyperlink" Target="https://investors.thomsonreuters.com/static-files/47412ad2-d720-4a02-99c7-cbd7c425c16d" TargetMode="External"/><Relationship Id="rId235" Type="http://schemas.openxmlformats.org/officeDocument/2006/relationships/hyperlink" Target="https://www.hrgrapevine.com/us/content/article/2024-11-15-you-will-be-left-behind-thomson-reuters-cpo-says-staff-must-upskill-in-ai-but-will-guide-them-through-the-journey" TargetMode="External"/><Relationship Id="rId256" Type="http://schemas.openxmlformats.org/officeDocument/2006/relationships/hyperlink" Target="https://www.hrgrapevine.com/us/content/article/2024-11-15-you-will-be-left-behind-thomson-reuters-cpo-says-staff-must-upskill-in-ai-but-will-guide-them-through-the-journey" TargetMode="External"/><Relationship Id="rId277" Type="http://schemas.openxmlformats.org/officeDocument/2006/relationships/hyperlink" Target="https://investors.thomsonreuters.com/static-files/47412ad2-d720-4a02-99c7-cbd7c425c16d" TargetMode="External"/><Relationship Id="rId298" Type="http://schemas.openxmlformats.org/officeDocument/2006/relationships/hyperlink" Target="https://trten.sharepoint.com/sites/intr-product-marketing/Shared%20Documents/Product%20Marketing%20Alliance/Live%20Session%20Repository/Live%20Session%201_Positioning/Thomson%20Reuters%20-%20Positioning%20Workshop_.pdf?web=1" TargetMode="External"/><Relationship Id="rId116" Type="http://schemas.openxmlformats.org/officeDocument/2006/relationships/hyperlink" Target="https://www.prnewswire.com/news-releases/thomson-reuters-unveils-generative-ai-strategy-designed-to-transform-the-future-of-professionals-301973542.html" TargetMode="External"/><Relationship Id="rId137" Type="http://schemas.openxmlformats.org/officeDocument/2006/relationships/hyperlink" Target="https://ir.thomsonreuters.com/index.php/static-files/e9dd3d54-b4ad-4393-8c3b-7c2a84cd65bb" TargetMode="External"/><Relationship Id="rId158" Type="http://schemas.openxmlformats.org/officeDocument/2006/relationships/hyperlink" Target="https://trten.sharepoint.com/sites/AnalyticsTR-02-ProgramandProjects/Shared%20Documents/03%20-%20Program%20and%20Projects/Business%20Functions/Global%20Print/Print%20360/Use%20Cases/GenAI/Content%20Summarization-Comparison/Solution%20Documents/Old/Approach%203.docx?web=1" TargetMode="External"/><Relationship Id="rId302" Type="http://schemas.openxmlformats.org/officeDocument/2006/relationships/hyperlink" Target="https://trten.sharepoint.com/Shared%20Documents/TR%20Corporate%20Deck_FINAL_June30_2023.pdf?web=1" TargetMode="External"/><Relationship Id="rId323" Type="http://schemas.openxmlformats.org/officeDocument/2006/relationships/hyperlink" Target="https://trten.sharepoint.com/sites/ELTC/Shared%20Documents/General/16.%20Financial%20Management/16.6%20%20Financial%20Planning,%20Analysis%20and%20EPC/Supplier%20Engagements/Thomson%20Reuters%20Commercial%20Systems%20Assessment%20and%20Implementation%20Plan%20RFP.docx?web=1" TargetMode="External"/><Relationship Id="rId344" Type="http://schemas.openxmlformats.org/officeDocument/2006/relationships/hyperlink" Target="https://trten.sharepoint.com/sites/AutomationCoEACoE/Shared%20Documents/%5b03%20-%20Program%20and%20Projects%5d/HR-Genie/HR%20Genie%20-%20Blue%20Print%20Sessions/02-Deliverables/Thomson%20Reuters_HRGenie_FDD_v1.docx?web=1" TargetMode="External"/><Relationship Id="rId20" Type="http://schemas.openxmlformats.org/officeDocument/2006/relationships/hyperlink" Target="https://ir.thomsonreuters.com/static-files/e9dd3d54-b4ad-4393-8c3b-7c2a84cd65bb" TargetMode="External"/><Relationship Id="rId41" Type="http://schemas.openxmlformats.org/officeDocument/2006/relationships/hyperlink" Target="https://investors.thomsonreuters.com/static-files/47412ad2-d720-4a02-99c7-cbd7c425c16d" TargetMode="External"/><Relationship Id="rId62" Type="http://schemas.openxmlformats.org/officeDocument/2006/relationships/hyperlink" Target="https://www.hrgrapevine.com/us/content/article/2024-11-15-you-will-be-left-behind-thomson-reuters-cpo-says-staff-must-upskill-in-ai-but-will-guide-them-through-the-journey" TargetMode="External"/><Relationship Id="rId83" Type="http://schemas.openxmlformats.org/officeDocument/2006/relationships/hyperlink" Target="https://ir.thomsonreuters.com/index.php/static-files/e9dd3d54-b4ad-4393-8c3b-7c2a84cd65bb" TargetMode="External"/><Relationship Id="rId179" Type="http://schemas.openxmlformats.org/officeDocument/2006/relationships/hyperlink" Target="https://trten.sharepoint.com/sites/AutomationCoEACoE/Shared%20Documents/General/Internal%20AI/Industry%20Benchmarking%20&amp;%20Research/Content%20Operations/Output/Content%20Operations%20Output%20V1.docx?web=1" TargetMode="External"/><Relationship Id="rId365" Type="http://schemas.openxmlformats.org/officeDocument/2006/relationships/hyperlink" Target="https://trten.sharepoint.com/sites/engineering64/Shared%20Documents/Apps/Viva%20Engage/Thomson%20Reuters%20-%20Optimizing%20GenAI%20for%20Sustainability.pdf?web=1" TargetMode="External"/><Relationship Id="rId190" Type="http://schemas.openxmlformats.org/officeDocument/2006/relationships/hyperlink" Target="https://www.cpapracticeadvisor.com/2025/02/10/thomson-reuters-announces-new-150m-corporate-venture-capital-fund/155782/" TargetMode="External"/><Relationship Id="rId204" Type="http://schemas.openxmlformats.org/officeDocument/2006/relationships/hyperlink" Target="https://www.thomsonreuters.com/en-us/posts/our-purpose/year-in-review-celebrating-the-best-of-working-at-thomson-reuters-in-2023/" TargetMode="External"/><Relationship Id="rId225" Type="http://schemas.openxmlformats.org/officeDocument/2006/relationships/hyperlink" Target="https://www.thomsonreuters.com/en-us/posts/our-purpose/year-in-review-celebrating-the-best-of-working-at-thomson-reuters-in-2023/" TargetMode="External"/><Relationship Id="rId246" Type="http://schemas.openxmlformats.org/officeDocument/2006/relationships/hyperlink" Target="https://www.hrgrapevine.com/us/content/article/2024-11-15-you-will-be-left-behind-thomson-reuters-cpo-says-staff-must-upskill-in-ai-but-will-guide-them-through-the-journey" TargetMode="External"/><Relationship Id="rId267" Type="http://schemas.openxmlformats.org/officeDocument/2006/relationships/hyperlink" Target="https://investors.thomsonreuters.com/static-files/47412ad2-d720-4a02-99c7-cbd7c425c16d" TargetMode="External"/><Relationship Id="rId288" Type="http://schemas.openxmlformats.org/officeDocument/2006/relationships/hyperlink" Target="https://www.cpapracticeadvisor.com/2025/02/10/thomson-reuters-announces-new-150m-corporate-venture-capital-fund/155782/" TargetMode="External"/><Relationship Id="rId106" Type="http://schemas.openxmlformats.org/officeDocument/2006/relationships/hyperlink" Target="https://ir.thomsonreuters.com/index.php/static-files/e9dd3d54-b4ad-4393-8c3b-7c2a84cd65bb" TargetMode="External"/><Relationship Id="rId127" Type="http://schemas.openxmlformats.org/officeDocument/2006/relationships/hyperlink" Target="https://www.prnewswire.com/news-releases/thomson-reuters-unveils-generative-ai-strategy-designed-to-transform-the-future-of-professionals-301973542.html" TargetMode="External"/><Relationship Id="rId313" Type="http://schemas.openxmlformats.org/officeDocument/2006/relationships/hyperlink" Target="https://trten-my.sharepoint.com/personal/nick_hern_thomsonreuters_com/VivaEngage/Attachments/Storyline%201/Thomson%20Reuters%20Competitive%20Intelligence%20Briefing_.pdf?web=1" TargetMode="External"/><Relationship Id="rId10" Type="http://schemas.openxmlformats.org/officeDocument/2006/relationships/hyperlink" Target="https://investors.thomsonreuters.com/static-files/47412ad2-d720-4a02-99c7-cbd7c425c16d" TargetMode="External"/><Relationship Id="rId31" Type="http://schemas.openxmlformats.org/officeDocument/2006/relationships/hyperlink" Target="https://www.hrgrapevine.com/us/content/article/2024-11-15-you-will-be-left-behind-thomson-reuters-cpo-says-staff-must-upskill-in-ai-but-will-guide-them-through-the-journey" TargetMode="External"/><Relationship Id="rId52" Type="http://schemas.openxmlformats.org/officeDocument/2006/relationships/hyperlink" Target="https://investors.thomsonreuters.com/static-files/47412ad2-d720-4a02-99c7-cbd7c425c16d" TargetMode="External"/><Relationship Id="rId73" Type="http://schemas.openxmlformats.org/officeDocument/2006/relationships/hyperlink" Target="https://www.hrgrapevine.com/us/content/article/2024-11-15-you-will-be-left-behind-thomson-reuters-cpo-says-staff-must-upskill-in-ai-but-will-guide-them-through-the-journey" TargetMode="External"/><Relationship Id="rId94" Type="http://schemas.openxmlformats.org/officeDocument/2006/relationships/hyperlink" Target="https://trten.sharepoint.com/sites/AnalyticsTR-06-GovernanceandReporting/Shared%20Documents/05%20-%20EAC%20and%20Governance/Executive%20Updates/2023/All%20Hands.v1.pptx?web=1" TargetMode="External"/><Relationship Id="rId148" Type="http://schemas.openxmlformats.org/officeDocument/2006/relationships/hyperlink" Target="https://trten-my.sharepoint.com/personal/ananya_khare_thomsonreuters_com/Documents/Microsoft%20Teams%20Chat%20Files/END%20SEMESTER%20REPORT-Ananya%20Khare-BT19GCS100.docx?web=1" TargetMode="External"/><Relationship Id="rId169" Type="http://schemas.openxmlformats.org/officeDocument/2006/relationships/hyperlink" Target="https://trten.sharepoint.com/Shared%20Documents/TR%20Corporate%20Deck_FINAL_June30_2023.pdf?web=1" TargetMode="External"/><Relationship Id="rId334" Type="http://schemas.openxmlformats.org/officeDocument/2006/relationships/hyperlink" Target="https://trten.sharepoint.com/sites/ProductDocumentHub/Shared%20Documents/PRDs/Accounting,%20Tax%20&amp;%20Practice/SurePrep/Active/Andersen%201040%20Workflow%20Summary%20and%20Recommendations%20Recommendations.docx?web=1" TargetMode="External"/><Relationship Id="rId355" Type="http://schemas.openxmlformats.org/officeDocument/2006/relationships/hyperlink" Target="https://trten.sharepoint.com/sites/engineering64/Shared%20Documents/Apps/Viva%20Engage/Thomson%20Reuters%20-%20Optimizing%20GenAI%20for%20Sustainability.pdf?web=1" TargetMode="External"/><Relationship Id="rId4" Type="http://schemas.openxmlformats.org/officeDocument/2006/relationships/numbering" Target="numbering.xml"/><Relationship Id="rId180" Type="http://schemas.openxmlformats.org/officeDocument/2006/relationships/hyperlink" Target="https://trten.sharepoint.com/Shared%20Documents/TR%20Corporate%20Deck_FINAL_June30_2023.pdf?web=1" TargetMode="External"/><Relationship Id="rId215" Type="http://schemas.openxmlformats.org/officeDocument/2006/relationships/hyperlink" Target="https://investors.thomsonreuters.com/static-files/47412ad2-d720-4a02-99c7-cbd7c425c16d" TargetMode="External"/><Relationship Id="rId236" Type="http://schemas.openxmlformats.org/officeDocument/2006/relationships/hyperlink" Target="https://www.hrgrapevine.com/us/content/article/2024-11-15-you-will-be-left-behind-thomson-reuters-cpo-says-staff-must-upskill-in-ai-but-will-guide-them-through-the-journey" TargetMode="External"/><Relationship Id="rId257" Type="http://schemas.openxmlformats.org/officeDocument/2006/relationships/hyperlink" Target="https://www.hrgrapevine.com/us/content/article/2024-11-15-you-will-be-left-behind-thomson-reuters-cpo-says-staff-must-upskill-in-ai-but-will-guide-them-through-the-journey" TargetMode="External"/><Relationship Id="rId278" Type="http://schemas.openxmlformats.org/officeDocument/2006/relationships/hyperlink" Target="https://investors.thomsonreuters.com/static-files/47412ad2-d720-4a02-99c7-cbd7c425c16d" TargetMode="External"/><Relationship Id="rId303" Type="http://schemas.openxmlformats.org/officeDocument/2006/relationships/hyperlink" Target="https://trten-my.sharepoint.com/personal/richie_samson_thomsonreuters_com/Documents/Microsoft%20Teams%20Chat%20Files/1-General%20FAQ%20v1.0.docx?web=1" TargetMode="External"/><Relationship Id="rId42" Type="http://schemas.openxmlformats.org/officeDocument/2006/relationships/hyperlink" Target="https://investors.thomsonreuters.com/static-files/47412ad2-d720-4a02-99c7-cbd7c425c16d" TargetMode="External"/><Relationship Id="rId84" Type="http://schemas.openxmlformats.org/officeDocument/2006/relationships/hyperlink" Target="https://ir.thomsonreuters.com/index.php/static-files/e9dd3d54-b4ad-4393-8c3b-7c2a84cd65bb" TargetMode="External"/><Relationship Id="rId138" Type="http://schemas.openxmlformats.org/officeDocument/2006/relationships/hyperlink" Target="https://trten.sharepoint.com/sites/intr-shared-service-center-global-operations/SitePages/LEAN-SIX-SIGMA-CERTIFICATION-EVENT.aspx?web=1" TargetMode="External"/><Relationship Id="rId345" Type="http://schemas.openxmlformats.org/officeDocument/2006/relationships/hyperlink" Target="https://www.prnewswire.com/news-releases/thomson-reuters-unveils-generative-ai-strategy-designed-to-transform-the-future-of-professionals-301973542.html" TargetMode="External"/><Relationship Id="rId191" Type="http://schemas.openxmlformats.org/officeDocument/2006/relationships/hyperlink" Target="https://www.thomsonreuters.com/en-us/posts/our-purpose/year-in-review-celebrating-the-best-of-working-at-thomson-reuters-in-2023/" TargetMode="External"/><Relationship Id="rId205" Type="http://schemas.openxmlformats.org/officeDocument/2006/relationships/hyperlink" Target="https://investors.thomsonreuters.com/static-files/47412ad2-d720-4a02-99c7-cbd7c425c16d" TargetMode="External"/><Relationship Id="rId247" Type="http://schemas.openxmlformats.org/officeDocument/2006/relationships/hyperlink" Target="https://www.hrgrapevine.com/us/content/article/2024-11-15-you-will-be-left-behind-thomson-reuters-cpo-says-staff-must-upskill-in-ai-but-will-guide-them-through-the-journey" TargetMode="External"/><Relationship Id="rId107" Type="http://schemas.openxmlformats.org/officeDocument/2006/relationships/hyperlink" Target="https://ir.thomsonreuters.com/index.php/static-files/e9dd3d54-b4ad-4393-8c3b-7c2a84cd65bb" TargetMode="External"/><Relationship Id="rId289" Type="http://schemas.openxmlformats.org/officeDocument/2006/relationships/hyperlink" Target="https://www.thomsonreuters.com/en-us/posts/our-purpose/year-in-review-celebrating-the-best-of-working-at-thomson-reuters-in-2023/" TargetMode="External"/><Relationship Id="rId11" Type="http://schemas.openxmlformats.org/officeDocument/2006/relationships/hyperlink" Target="https://investors.thomsonreuters.com/static-files/47412ad2-d720-4a02-99c7-cbd7c425c16d" TargetMode="External"/><Relationship Id="rId53" Type="http://schemas.openxmlformats.org/officeDocument/2006/relationships/hyperlink" Target="https://ir.thomsonreuters.com/static-files/e9dd3d54-b4ad-4393-8c3b-7c2a84cd65bb" TargetMode="External"/><Relationship Id="rId149" Type="http://schemas.openxmlformats.org/officeDocument/2006/relationships/hyperlink" Target="https://trten.sharepoint.com/sites/GlobalServices-DigitalCapability/Shared%20Documents/Thomson%20Reuters%20RFP%20Document%20V4.docx?web=1" TargetMode="External"/><Relationship Id="rId314" Type="http://schemas.openxmlformats.org/officeDocument/2006/relationships/hyperlink" Target="https://trten-my.sharepoint.com/personal/nick_hern_thomsonreuters_com/VivaEngage/Attachments/Storyline%201/Thomson%20Reuters%20Competitive%20Intelligence%20Briefing_.pdf?web=1" TargetMode="External"/><Relationship Id="rId356" Type="http://schemas.openxmlformats.org/officeDocument/2006/relationships/hyperlink" Target="https://www.prnewswire.com/news-releases/thomson-reuters-unveils-generative-ai-strategy-designed-to-transform-the-future-of-professionals-301973542.html" TargetMode="External"/><Relationship Id="rId95" Type="http://schemas.openxmlformats.org/officeDocument/2006/relationships/hyperlink" Target="https://trten.sharepoint.com/sites/AnalyticsTR-06-GovernanceandReporting/Shared%20Documents/05%20-%20EAC%20and%20Governance/Executive%20Updates/2023/All%20Hands.v1.pptx?web=1" TargetMode="External"/><Relationship Id="rId160" Type="http://schemas.openxmlformats.org/officeDocument/2006/relationships/hyperlink" Target="https://trten.sharepoint.com/Shared%20Documents/TR%20Corporate%20Deck_FINAL_June30_2023.pdf?web=1" TargetMode="External"/><Relationship Id="rId216" Type="http://schemas.openxmlformats.org/officeDocument/2006/relationships/hyperlink" Target="https://www.cpapracticeadvisor.com/2025/02/10/thomson-reuters-announces-new-150m-corporate-venture-capital-fund/155782/" TargetMode="External"/><Relationship Id="rId258" Type="http://schemas.openxmlformats.org/officeDocument/2006/relationships/hyperlink" Target="https://www.hrgrapevine.com/us/content/article/2024-11-15-you-will-be-left-behind-thomson-reuters-cpo-says-staff-must-upskill-in-ai-but-will-guide-them-through-the-journey" TargetMode="External"/><Relationship Id="rId22" Type="http://schemas.openxmlformats.org/officeDocument/2006/relationships/hyperlink" Target="https://investors.thomsonreuters.com/static-files/47412ad2-d720-4a02-99c7-cbd7c425c16d" TargetMode="External"/><Relationship Id="rId64" Type="http://schemas.openxmlformats.org/officeDocument/2006/relationships/hyperlink" Target="https://www.hrgrapevine.com/us/content/article/2024-11-15-you-will-be-left-behind-thomson-reuters-cpo-says-staff-must-upskill-in-ai-but-will-guide-them-through-the-journey" TargetMode="External"/><Relationship Id="rId118" Type="http://schemas.openxmlformats.org/officeDocument/2006/relationships/hyperlink" Target="https://ir.thomsonreuters.com/index.php/static-files/e9dd3d54-b4ad-4393-8c3b-7c2a84cd65bb" TargetMode="External"/><Relationship Id="rId325" Type="http://schemas.openxmlformats.org/officeDocument/2006/relationships/hyperlink" Target="https://trten.sharepoint.com/sites/intr-product-marketing/Shared%20Documents/Product%20Marketing%20Alliance/Live%20Session%20Repository/Live%20Session%201_Positioning/Thomson%20Reuters%20-%20Positioning%20Workshop_.pdf?web=1" TargetMode="External"/><Relationship Id="rId367" Type="http://schemas.openxmlformats.org/officeDocument/2006/relationships/theme" Target="theme/theme1.xml"/><Relationship Id="rId171" Type="http://schemas.openxmlformats.org/officeDocument/2006/relationships/hyperlink" Target="https://trten.sharepoint.com/sites/intr-asia-and-emerging-markets/Shared%20Documents/TR%20Corporate%20Deck_2025.pptx?web=1" TargetMode="External"/><Relationship Id="rId227" Type="http://schemas.openxmlformats.org/officeDocument/2006/relationships/hyperlink" Target="https://investors.thomsonreuters.com/static-files/47412ad2-d720-4a02-99c7-cbd7c425c16d" TargetMode="External"/><Relationship Id="rId269" Type="http://schemas.openxmlformats.org/officeDocument/2006/relationships/hyperlink" Target="https://investors.thomsonreuters.com/static-files/47412ad2-d720-4a02-99c7-cbd7c425c16d" TargetMode="External"/><Relationship Id="rId33" Type="http://schemas.openxmlformats.org/officeDocument/2006/relationships/hyperlink" Target="https://investors.thomsonreuters.com/static-files/47412ad2-d720-4a02-99c7-cbd7c425c16d" TargetMode="External"/><Relationship Id="rId129" Type="http://schemas.openxmlformats.org/officeDocument/2006/relationships/hyperlink" Target="https://ir.thomsonreuters.com/index.php/static-files/e9dd3d54-b4ad-4393-8c3b-7c2a84cd65bb" TargetMode="External"/><Relationship Id="rId280" Type="http://schemas.openxmlformats.org/officeDocument/2006/relationships/hyperlink" Target="https://investors.thomsonreuters.com/static-files/47412ad2-d720-4a02-99c7-cbd7c425c16d" TargetMode="External"/><Relationship Id="rId336" Type="http://schemas.openxmlformats.org/officeDocument/2006/relationships/hyperlink" Target="https://trten.sharepoint.com/sites/intr-ourcontent/Shared%20Documents/1%20-%20OurContent%20Main/All-Employee%20Meetings/Q2%202023%20Content%20Ops%20Townhall%20June%206,%202023.pdf?web=1" TargetMode="External"/><Relationship Id="rId75" Type="http://schemas.openxmlformats.org/officeDocument/2006/relationships/hyperlink" Target="https://www.hrgrapevine.com/us/content/article/2024-11-15-you-will-be-left-behind-thomson-reuters-cpo-says-staff-must-upskill-in-ai-but-will-guide-them-through-the-journey" TargetMode="External"/><Relationship Id="rId140" Type="http://schemas.openxmlformats.org/officeDocument/2006/relationships/hyperlink" Target="https://trten.sharepoint.com/sites/GOSKnowledge/SitePages/Content-Process-Improvement.aspx?web=1" TargetMode="External"/><Relationship Id="rId182" Type="http://schemas.openxmlformats.org/officeDocument/2006/relationships/hyperlink" Target="https://trten.sharepoint.com/sites/intr-legal-professionals/SitePages/news-nwl_09142022.aspx?web=1" TargetMode="External"/><Relationship Id="rId6" Type="http://schemas.openxmlformats.org/officeDocument/2006/relationships/settings" Target="settings.xml"/><Relationship Id="rId238" Type="http://schemas.openxmlformats.org/officeDocument/2006/relationships/hyperlink" Target="https://www.hrgrapevine.com/us/content/article/2024-11-15-you-will-be-left-behind-thomson-reuters-cpo-says-staff-must-upskill-in-ai-but-will-guide-them-through-the-journey" TargetMode="External"/><Relationship Id="rId291" Type="http://schemas.openxmlformats.org/officeDocument/2006/relationships/hyperlink" Target="https://www.hrgrapevine.com/us/content/article/2024-11-15-you-will-be-left-behind-thomson-reuters-cpo-says-staff-must-upskill-in-ai-but-will-guide-them-through-the-journey" TargetMode="External"/><Relationship Id="rId305" Type="http://schemas.openxmlformats.org/officeDocument/2006/relationships/hyperlink" Target="https://trten.sharepoint.com/sites/intr-business-development-coe/Shared%20Documents/Automation%20and%20originals/Competitors%20List/Thomson%20Reuters%20Competitors%20List%202025.xlsx?web=1" TargetMode="External"/><Relationship Id="rId347" Type="http://schemas.openxmlformats.org/officeDocument/2006/relationships/hyperlink" Target="https://trten-my.sharepoint.com/personal/richie_samson_thomsonreuters_com/Documents/Microsoft%20Copilot%20Chat%20Files/1a-Prompt_Internal%20Company%20Intelligence.docx?web=1" TargetMode="External"/><Relationship Id="rId44" Type="http://schemas.openxmlformats.org/officeDocument/2006/relationships/hyperlink" Target="https://investors.thomsonreuters.com/static-files/47412ad2-d720-4a02-99c7-cbd7c425c16d" TargetMode="External"/><Relationship Id="rId86" Type="http://schemas.openxmlformats.org/officeDocument/2006/relationships/hyperlink" Target="https://ir.thomsonreuters.com/index.php/static-files/e9dd3d54-b4ad-4393-8c3b-7c2a84cd65bb" TargetMode="External"/><Relationship Id="rId151" Type="http://schemas.openxmlformats.org/officeDocument/2006/relationships/hyperlink" Target="https://trten-my.sharepoint.com/personal/ananya_khare_thomsonreuters_com/Documents/Microsoft%20Teams%20Chat%20Files/END%20SEMESTER%20REPORT-Ananya%20Khare-BT19GCS100.docx?web=1" TargetMode="External"/><Relationship Id="rId193" Type="http://schemas.openxmlformats.org/officeDocument/2006/relationships/hyperlink" Target="https://www.cpapracticeadvisor.com/2025/02/10/thomson-reuters-announces-new-150m-corporate-venture-capital-fund/155782/" TargetMode="External"/><Relationship Id="rId207" Type="http://schemas.openxmlformats.org/officeDocument/2006/relationships/hyperlink" Target="https://www.thomsonreuters.com/en-us/posts/innovation/thomson-reuters-labs-innovation-focused-on-delivering-smarter-more-valuable-solutions-for-professionals/" TargetMode="External"/><Relationship Id="rId249" Type="http://schemas.openxmlformats.org/officeDocument/2006/relationships/hyperlink" Target="https://www.hrgrapevine.com/us/content/article/2024-11-15-you-will-be-left-behind-thomson-reuters-cpo-says-staff-must-upskill-in-ai-but-will-guide-them-through-the-journey" TargetMode="External"/><Relationship Id="rId13" Type="http://schemas.openxmlformats.org/officeDocument/2006/relationships/hyperlink" Target="https://investors.thomsonreuters.com/static-files/47412ad2-d720-4a02-99c7-cbd7c425c16d" TargetMode="External"/><Relationship Id="rId109" Type="http://schemas.openxmlformats.org/officeDocument/2006/relationships/hyperlink" Target="https://ir.thomsonreuters.com/index.php/static-files/e9dd3d54-b4ad-4393-8c3b-7c2a84cd65bb" TargetMode="External"/><Relationship Id="rId260" Type="http://schemas.openxmlformats.org/officeDocument/2006/relationships/hyperlink" Target="https://investors.thomsonreuters.com/static-files/47412ad2-d720-4a02-99c7-cbd7c425c16d" TargetMode="External"/><Relationship Id="rId316" Type="http://schemas.openxmlformats.org/officeDocument/2006/relationships/hyperlink" Target="https://trten-my.sharepoint.com/personal/nick_hern_thomsonreuters_com/VivaEngage/Attachments/Storyline%201/Thomson%20Reuters%20Competitive%20Intelligence%20Briefing_.pdf?web=1" TargetMode="External"/><Relationship Id="rId55" Type="http://schemas.openxmlformats.org/officeDocument/2006/relationships/hyperlink" Target="https://investors.thomsonreuters.com/static-files/47412ad2-d720-4a02-99c7-cbd7c425c16d" TargetMode="External"/><Relationship Id="rId97" Type="http://schemas.openxmlformats.org/officeDocument/2006/relationships/hyperlink" Target="https://ir.thomsonreuters.com/index.php/static-files/e9dd3d54-b4ad-4393-8c3b-7c2a84cd65bb" TargetMode="External"/><Relationship Id="rId120" Type="http://schemas.openxmlformats.org/officeDocument/2006/relationships/hyperlink" Target="https://trten-my.sharepoint.com/personal/abdul_pasha_thomsonreuters_com/Documents/Microsoft%20Teams%20Chat%20Files/2024%20_Planning.pptx?web=1" TargetMode="External"/><Relationship Id="rId358" Type="http://schemas.openxmlformats.org/officeDocument/2006/relationships/hyperlink" Target="https://trten.sharepoint.com/sites/intr-cybercom/Shared%20Documents/SecurityProductCollateral/thomson-reuters-security-principles.pdf?web=1" TargetMode="External"/><Relationship Id="rId162" Type="http://schemas.openxmlformats.org/officeDocument/2006/relationships/hyperlink" Target="https://trten.sharepoint.com/Shared%20Documents/TR%20Corporate%20Deck_FINAL_June30_2023.pdf?web=1" TargetMode="External"/><Relationship Id="rId218" Type="http://schemas.openxmlformats.org/officeDocument/2006/relationships/hyperlink" Target="https://www.cpapracticeadvisor.com/2025/02/10/thomson-reuters-announces-new-150m-corporate-venture-capital-fund/155782/" TargetMode="External"/><Relationship Id="rId271" Type="http://schemas.openxmlformats.org/officeDocument/2006/relationships/hyperlink" Target="https://www.hrgrapevine.com/us/content/article/2024-11-15-you-will-be-left-behind-thomson-reuters-cpo-says-staff-must-upskill-in-ai-but-will-guide-them-through-the-journey" TargetMode="External"/><Relationship Id="rId24" Type="http://schemas.openxmlformats.org/officeDocument/2006/relationships/image" Target="media/image1.png"/><Relationship Id="rId66" Type="http://schemas.openxmlformats.org/officeDocument/2006/relationships/hyperlink" Target="https://investors.thomsonreuters.com/static-files/47412ad2-d720-4a02-99c7-cbd7c425c16d" TargetMode="External"/><Relationship Id="rId131" Type="http://schemas.openxmlformats.org/officeDocument/2006/relationships/hyperlink" Target="https://www.prnewswire.com/news-releases/thomson-reuters-unveils-generative-ai-strategy-designed-to-transform-the-future-of-professionals-301973542.html" TargetMode="External"/><Relationship Id="rId327" Type="http://schemas.openxmlformats.org/officeDocument/2006/relationships/hyperlink" Target="https://trten.sharepoint.com/sites/intr-business-development-coe/Shared%20Documents/Automation%20and%20originals/Competitors%20List/Thomson%20Reuters%20Competitors%20List%202025.xlsx?web=1" TargetMode="External"/><Relationship Id="rId173" Type="http://schemas.openxmlformats.org/officeDocument/2006/relationships/hyperlink" Target="https://trten.sharepoint.com/Shared%20Documents/TR%20Corporate%20Deck_FINAL_June30_2023.pdf?web=1" TargetMode="External"/><Relationship Id="rId229" Type="http://schemas.openxmlformats.org/officeDocument/2006/relationships/hyperlink" Target="https://www.hrgrapevine.com/us/content/article/2024-11-15-you-will-be-left-behind-thomson-reuters-cpo-says-staff-must-upskill-in-ai-but-will-guide-them-through-the-journey" TargetMode="External"/><Relationship Id="rId240" Type="http://schemas.openxmlformats.org/officeDocument/2006/relationships/hyperlink" Target="https://www.hrgrapevine.com/us/content/article/2024-11-15-you-will-be-left-behind-thomson-reuters-cpo-says-staff-must-upskill-in-ai-but-will-guide-them-through-the-journey" TargetMode="External"/><Relationship Id="rId35" Type="http://schemas.openxmlformats.org/officeDocument/2006/relationships/hyperlink" Target="https://www.hrgrapevine.com/us/content/article/2024-11-15-you-will-be-left-behind-thomson-reuters-cpo-says-staff-must-upskill-in-ai-but-will-guide-them-through-the-journey" TargetMode="External"/><Relationship Id="rId77" Type="http://schemas.openxmlformats.org/officeDocument/2006/relationships/hyperlink" Target="https://ir.thomsonreuters.com/static-files/e9dd3d54-b4ad-4393-8c3b-7c2a84cd65bb" TargetMode="External"/><Relationship Id="rId100" Type="http://schemas.openxmlformats.org/officeDocument/2006/relationships/hyperlink" Target="https://trten.sharepoint.com/sites/intr-ourcontent/Shared%20Documents/1%20-%20OurContent%20Main/Meetings%20and%20Q&amp;A/Global%20Content%20Townhalls/Q2%202023%20Content%20Ops%20Townhall%20June%206,%202023.pdf?web=1" TargetMode="External"/><Relationship Id="rId282" Type="http://schemas.openxmlformats.org/officeDocument/2006/relationships/hyperlink" Target="https://www.hrgrapevine.com/us/content/article/2024-11-15-you-will-be-left-behind-thomson-reuters-cpo-says-staff-must-upskill-in-ai-but-will-guide-them-through-the-journey" TargetMode="External"/><Relationship Id="rId338" Type="http://schemas.openxmlformats.org/officeDocument/2006/relationships/hyperlink" Target="https://trten.sharepoint.com/sites/intr-generative-ai-platform/Shared%20Documents/Thomson%20Reuters%20Generative%20AI%20Platform.pptx?web=1" TargetMode="External"/><Relationship Id="rId8" Type="http://schemas.openxmlformats.org/officeDocument/2006/relationships/hyperlink" Target="https://investors.thomsonreuters.com/static-files/47412ad2-d720-4a02-99c7-cbd7c425c16d" TargetMode="External"/><Relationship Id="rId142" Type="http://schemas.openxmlformats.org/officeDocument/2006/relationships/hyperlink" Target="https://trten.sharepoint.com/sites/intr-shared-service-center-global-operations/SitePages/LEAN-SIX-SIGMA.aspx?web=1" TargetMode="External"/><Relationship Id="rId184" Type="http://schemas.openxmlformats.org/officeDocument/2006/relationships/hyperlink" Target="https://trten-my.sharepoint.com/personal/nick_hern_thomsonreuters_com/VivaEngage/Attachments/Storyline%201/Thomson%20Reuters%20Competitive%20Intelligence%20Briefing_.pdf?web=1" TargetMode="External"/><Relationship Id="rId251" Type="http://schemas.openxmlformats.org/officeDocument/2006/relationships/hyperlink" Target="https://www.hrgrapevine.com/us/content/article/2024-11-15-you-will-be-left-behind-thomson-reuters-cpo-says-staff-must-upskill-in-ai-but-will-guide-them-through-the-journey" TargetMode="External"/><Relationship Id="rId46" Type="http://schemas.openxmlformats.org/officeDocument/2006/relationships/hyperlink" Target="https://investors.thomsonreuters.com/static-files/47412ad2-d720-4a02-99c7-cbd7c425c16d" TargetMode="External"/><Relationship Id="rId293" Type="http://schemas.openxmlformats.org/officeDocument/2006/relationships/hyperlink" Target="https://trten.sharepoint.com/sites/intr-generative-ai-platform/Shared%20Documents/Thomson%20Reuters%20Generative%20AI%20Platform.pptx?web=1" TargetMode="External"/><Relationship Id="rId307" Type="http://schemas.openxmlformats.org/officeDocument/2006/relationships/hyperlink" Target="https://trten.sharepoint.com/sites/intr-practical-new-hire-and-onboarding-guidance/Shared%20Documents/FromTheHub-3290713/Thomson%20Reuters%20Company%20Overview%202021.pdf?web=1" TargetMode="External"/><Relationship Id="rId349" Type="http://schemas.openxmlformats.org/officeDocument/2006/relationships/hyperlink" Target="https://trten.sharepoint.com/sites/intr-enterprise-architecture/SitePages/Sustainability--Microsoft-Services.aspx?web=1" TargetMode="External"/><Relationship Id="rId88" Type="http://schemas.openxmlformats.org/officeDocument/2006/relationships/hyperlink" Target="https://ir.thomsonreuters.com/index.php/static-files/e9dd3d54-b4ad-4393-8c3b-7c2a84cd65bb" TargetMode="External"/><Relationship Id="rId111" Type="http://schemas.openxmlformats.org/officeDocument/2006/relationships/hyperlink" Target="https://trten.sharepoint.com/sites/intr-enterprise-architecture/SitePages/TR-Enterprise-Operating-Processes.aspx?web=1" TargetMode="External"/><Relationship Id="rId153" Type="http://schemas.openxmlformats.org/officeDocument/2006/relationships/hyperlink" Target="https://trten.sharepoint.com/sites/intr-enterprise-architecture/SitePages/Sustainability--Microsoft-Services.aspx?web=1" TargetMode="External"/><Relationship Id="rId195" Type="http://schemas.openxmlformats.org/officeDocument/2006/relationships/hyperlink" Target="https://www.cpapracticeadvisor.com/2025/02/10/thomson-reuters-announces-new-150m-corporate-venture-capital-fund/155782/" TargetMode="External"/><Relationship Id="rId209" Type="http://schemas.openxmlformats.org/officeDocument/2006/relationships/hyperlink" Target="https://www.cpapracticeadvisor.com/2025/02/10/thomson-reuters-announces-new-150m-corporate-venture-capital-fund/155782/" TargetMode="External"/><Relationship Id="rId360" Type="http://schemas.openxmlformats.org/officeDocument/2006/relationships/hyperlink" Target="https://trten.sharepoint.com/sites/intr-generative-ai-platform/Shared%20Documents/Thomson%20Reuters%20Generative%20AI%20Platform.pptx?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749A8-EDE2-474E-9E9C-D6E44A1BDF82}">
  <ds:schemaRefs>
    <ds:schemaRef ds:uri="http://schemas.microsoft.com/sharepoint/v3/contenttype/forms"/>
  </ds:schemaRefs>
</ds:datastoreItem>
</file>

<file path=customXml/itemProps2.xml><?xml version="1.0" encoding="utf-8"?>
<ds:datastoreItem xmlns:ds="http://schemas.openxmlformats.org/officeDocument/2006/customXml" ds:itemID="{CA0699C4-8E86-4C5A-9AE0-94E68273CE50}">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93A3137-A53C-445C-A766-18C50755F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4ad59-e963-4310-8574-13f5eb50b5fb"/>
    <ds:schemaRef ds:uri="fff77ca8-25b3-4918-80a3-cc82c4227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91</Pages>
  <Words>72689</Words>
  <Characters>414328</Characters>
  <Application>Microsoft Office Word</Application>
  <DocSecurity>0</DocSecurity>
  <Lines>3452</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10</cp:revision>
  <dcterms:created xsi:type="dcterms:W3CDTF">2025-08-02T10:58:00Z</dcterms:created>
  <dcterms:modified xsi:type="dcterms:W3CDTF">2025-09-14T16:34:00Z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