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204AB" w:rsidRDefault="00D204AB"/>
    <w:p w:rsidR="00D204AB" w:rsidRDefault="00000000">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color w:val="0D0D0D"/>
          <w:sz w:val="24"/>
          <w:szCs w:val="24"/>
          <w:highlight w:val="white"/>
        </w:rPr>
        <w:t xml:space="preserve"> </w:t>
      </w:r>
      <w:r>
        <w:rPr>
          <w:rFonts w:ascii="Times New Roman" w:eastAsia="Times New Roman" w:hAnsi="Times New Roman" w:cs="Times New Roman"/>
          <w:b/>
          <w:color w:val="0D0D0D"/>
          <w:sz w:val="28"/>
          <w:szCs w:val="28"/>
          <w:highlight w:val="white"/>
        </w:rPr>
        <w:t>A position statement from Setaweet and its partners regarding the proposed Transitional Justice process</w:t>
      </w:r>
      <w:r>
        <w:rPr>
          <w:rFonts w:ascii="Times New Roman" w:eastAsia="Times New Roman" w:hAnsi="Times New Roman" w:cs="Times New Roman"/>
          <w:b/>
          <w:sz w:val="28"/>
          <w:szCs w:val="28"/>
        </w:rPr>
        <w:t xml:space="preserve">                                                               March 2016</w:t>
      </w:r>
    </w:p>
    <w:p w:rsidR="00D204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1.Before the transitional justice system starts, favorable and enabling conditions must be created to carry out the transitional justice process.</w:t>
      </w:r>
    </w:p>
    <w:p w:rsidR="00D204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1.1 The conflicts that are going on in different parts of the country should be settled first.</w:t>
      </w:r>
    </w:p>
    <w:p w:rsidR="00D204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1.2 Basic services or government institutions that have stopped providing public services should start working.</w:t>
      </w:r>
    </w:p>
    <w:p w:rsidR="00D204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1.3 People who are at risk of being displaced due to conflict should be returned to their homes and they should be provided with favorable conditions for rehabilitation.</w:t>
      </w:r>
    </w:p>
    <w:p w:rsidR="00D204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The transitional justice process should not be based on issues that are conducted to provide an immediate response, as it is a system that is carried out to bring sustainable peace and justice.</w:t>
      </w:r>
    </w:p>
    <w:p w:rsidR="00D204AB" w:rsidRDefault="00000000">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 xml:space="preserve">3. </w:t>
      </w:r>
      <w:r>
        <w:rPr>
          <w:rFonts w:ascii="Times New Roman" w:eastAsia="Times New Roman" w:hAnsi="Times New Roman" w:cs="Times New Roman"/>
          <w:sz w:val="24"/>
          <w:szCs w:val="24"/>
          <w:highlight w:val="white"/>
        </w:rPr>
        <w:t>The ongoing agreements with the armed forces must be transparent and trustworthy to foster trust within the community.</w:t>
      </w:r>
    </w:p>
    <w:p w:rsidR="00D204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The parties that have been playing important and significant roles in the provocation of conflicts and various social problems should have a clear and limited role in the implementation process of transitional justice.</w:t>
      </w:r>
    </w:p>
    <w:p w:rsidR="00D204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Civil society organization should be given a role or responsibility to play a significant role in monitoring and evaluating the transitional justice process.</w:t>
      </w:r>
    </w:p>
    <w:p w:rsidR="00D204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The Ministry of Justice, the Human Rights Commission and the Civil Society Council should work together with the Transitional Justice Commission to be established as an equal.</w:t>
      </w:r>
    </w:p>
    <w:p w:rsidR="00D204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 The policy should have a clear and limited interpretation of significant human rights violations and should be able to establish accountability properly when it says that an investigation and prosecution will be conducted on significant human rights violations related to criminal liability.</w:t>
      </w:r>
    </w:p>
    <w:p w:rsidR="00D204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 Children, people with disabilities, the elderly and women with disabilities should not be classified as a single group and their cases should be considered separately and in a special way in the process of transitional justice.</w:t>
      </w:r>
    </w:p>
    <w:p w:rsidR="00D204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 The international community's participation in the transitional justice implementation process should be confirmed in many ways, i.e. in terms of expertise, investigation, monitoring and evaluation.</w:t>
      </w:r>
    </w:p>
    <w:p w:rsidR="00D204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 Under the context of reform of laws and institutions</w:t>
      </w:r>
    </w:p>
    <w:p w:rsidR="00D204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10.1 The legal framework should go beyond the reform of the laws based on responsibility for crimes committed during the conflict, to correct other legal deficiencies and to make comprehensive, lasting and significant changes.</w:t>
      </w:r>
    </w:p>
    <w:p w:rsidR="00D204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10.2 Legislation should be enacted to provide lasting protection to women, taking into account violations of women's rights in both wartime and peacetime.</w:t>
      </w:r>
    </w:p>
    <w:p w:rsidR="00D204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10.3 Apart from the defense force and other institutions, institutions established to work for women  should be improved.</w:t>
      </w:r>
    </w:p>
    <w:p w:rsidR="00D204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10.4  Institutions must fulfill their responsibilities properly.</w:t>
      </w:r>
    </w:p>
    <w:p w:rsidR="00D204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10.5 An independent institution should be established for the rehabilitation of displaced persons.</w:t>
      </w:r>
    </w:p>
    <w:p w:rsidR="00D204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 Regarding traditional conflict resolution means, they should be applicable only to the extent that women's rights can be enforced.</w:t>
      </w:r>
    </w:p>
    <w:p w:rsidR="00D204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 Conflict Related Sexual and Gender Based Violence (CRSGBV) committed as a result of conflict should not be covered by compensation beyond criminal liability.</w:t>
      </w:r>
    </w:p>
    <w:p w:rsidR="00D204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12.1 A woman who has experienced Gender Based Violence should receive a lasting response and full justice and reparation, including economic empowerment, rehabilitation and psychological support, taking into account the psychological and mental health disorders suffered.</w:t>
      </w:r>
    </w:p>
    <w:p w:rsidR="00D204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13. Government bodies should acknowledge and apologize for Conflict-Related Sexual Gender Based Violence (CRSGBV).</w:t>
      </w:r>
    </w:p>
    <w:p w:rsidR="00D204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 All involved parties should discuss the process of implementation of transitional justice and all armed forces should have a detailed and transparent participation in the process of transitional justice.</w:t>
      </w:r>
    </w:p>
    <w:p w:rsidR="00D204AB" w:rsidRDefault="00000000">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15.</w:t>
      </w:r>
      <w:r>
        <w:rPr>
          <w:rFonts w:ascii="Times New Roman" w:eastAsia="Times New Roman" w:hAnsi="Times New Roman" w:cs="Times New Roman"/>
          <w:sz w:val="24"/>
          <w:szCs w:val="24"/>
          <w:highlight w:val="white"/>
        </w:rPr>
        <w:t>The transitional justice process should emphasize that Conflict-Related Sexual and Gender-Based Violence (CRSGBV) against women must not recur.</w:t>
      </w:r>
    </w:p>
    <w:p w:rsidR="00D204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16.Regarding memorialization the same critical institutions should be established in all the areas where the conflict took place.</w:t>
      </w:r>
    </w:p>
    <w:p w:rsidR="00D204AB" w:rsidRDefault="00000000">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17.</w:t>
      </w:r>
      <w:r>
        <w:rPr>
          <w:rFonts w:ascii="Times New Roman" w:eastAsia="Times New Roman" w:hAnsi="Times New Roman" w:cs="Times New Roman"/>
          <w:sz w:val="24"/>
          <w:szCs w:val="24"/>
          <w:highlight w:val="white"/>
        </w:rPr>
        <w:t>Legal and institutional reforms should address the historical legacies and structural issues that underlie conflicts in the country</w:t>
      </w:r>
    </w:p>
    <w:p w:rsidR="00D204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18.The transitional justice process should have a limited and clear time frame and the process should be reviewed within a certain time frame.</w:t>
      </w:r>
    </w:p>
    <w:p w:rsidR="00D204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19.The transitional justice process should have a transparent and mandatory recruitment process to be more inclusive than sham when setting up the commission.</w:t>
      </w:r>
    </w:p>
    <w:p w:rsidR="00D204AB" w:rsidRDefault="00000000">
      <w:pPr>
        <w:jc w:val="both"/>
        <w:rPr>
          <w:rFonts w:ascii="Times New Roman" w:eastAsia="Times New Roman" w:hAnsi="Times New Roman" w:cs="Times New Roman"/>
        </w:rPr>
      </w:pPr>
      <w:r>
        <w:rPr>
          <w:rFonts w:ascii="Times New Roman" w:eastAsia="Times New Roman" w:hAnsi="Times New Roman" w:cs="Times New Roman"/>
          <w:sz w:val="24"/>
          <w:szCs w:val="24"/>
        </w:rPr>
        <w:t>20.</w:t>
      </w:r>
      <w:r>
        <w:rPr>
          <w:rFonts w:ascii="Times New Roman" w:eastAsia="Times New Roman" w:hAnsi="Times New Roman" w:cs="Times New Roman"/>
          <w:sz w:val="24"/>
          <w:szCs w:val="24"/>
          <w:highlight w:val="white"/>
        </w:rPr>
        <w:t>Survivors of Conflict-Related Sexual and Gender-Based Violence should be treated as a  group and directly involved in the transitional justice process, with their cases being handled in a specialized manner.</w:t>
      </w:r>
    </w:p>
    <w:sectPr w:rsidR="00D204AB">
      <w:headerReference w:type="default" r:id="rId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72761" w:rsidRDefault="00672761">
      <w:pPr>
        <w:spacing w:line="240" w:lineRule="auto"/>
      </w:pPr>
      <w:r>
        <w:separator/>
      </w:r>
    </w:p>
  </w:endnote>
  <w:endnote w:type="continuationSeparator" w:id="0">
    <w:p w:rsidR="00672761" w:rsidRDefault="006727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72761" w:rsidRDefault="00672761">
      <w:pPr>
        <w:spacing w:line="240" w:lineRule="auto"/>
      </w:pPr>
      <w:r>
        <w:separator/>
      </w:r>
    </w:p>
  </w:footnote>
  <w:footnote w:type="continuationSeparator" w:id="0">
    <w:p w:rsidR="00672761" w:rsidRDefault="0067276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204AB" w:rsidRDefault="00000000">
    <w:r>
      <w:rPr>
        <w:noProof/>
      </w:rPr>
      <w:drawing>
        <wp:inline distT="114300" distB="114300" distL="114300" distR="114300">
          <wp:extent cx="1819275" cy="90963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819275" cy="909638"/>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04AB"/>
    <w:rsid w:val="00672761"/>
    <w:rsid w:val="00B75704"/>
    <w:rsid w:val="00D204AB"/>
  </w:rsids>
  <m:mathPr>
    <m:mathFont m:val="Cambria Math"/>
    <m:brkBin m:val="before"/>
    <m:brkBinSub m:val="--"/>
    <m:smallFrac m:val="0"/>
    <m:dispDef/>
    <m:lMargin m:val="0"/>
    <m:rMargin m:val="0"/>
    <m:defJc m:val="centerGroup"/>
    <m:wrapIndent m:val="1440"/>
    <m:intLim m:val="subSup"/>
    <m:naryLim m:val="undOvr"/>
  </m:mathPr>
  <w:themeFontLang w:val="en-ET"/>
  <w:clrSchemeMapping w:bg1="light1" w:t1="dark1" w:bg2="light2" w:t2="dark2" w:accent1="accent1" w:accent2="accent2" w:accent3="accent3" w:accent4="accent4" w:accent5="accent5" w:accent6="accent6" w:hyperlink="hyperlink" w:followedHyperlink="followedHyperlink"/>
  <w:decimalSymbol w:val="."/>
  <w:listSeparator w:val=","/>
  <w15:docId w15:val="{8A825D1A-37A0-964B-8DF2-99A8334B2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732</Words>
  <Characters>4175</Characters>
  <Application>Microsoft Office Word</Application>
  <DocSecurity>0</DocSecurity>
  <Lines>34</Lines>
  <Paragraphs>9</Paragraphs>
  <ScaleCrop>false</ScaleCrop>
  <Company/>
  <LinksUpToDate>false</LinksUpToDate>
  <CharactersWithSpaces>4898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2</cp:revision>
  <dcterms:created xsi:type="dcterms:W3CDTF">2026-05-19T09:29:00Z</dcterms:created>
  <dcterms:modified xsi:type="dcterms:W3CDTF">2026-05-19T09:29:00Z</dcterms:modified>
</cp:coreProperties>
</file>